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87C5E" w14:textId="4D6F2A51" w:rsidR="0012388D" w:rsidRDefault="00772BDC" w:rsidP="00CA5734">
      <w:pPr>
        <w:rPr>
          <w:rFonts w:cs="Arial"/>
        </w:rPr>
      </w:pPr>
      <w:r>
        <w:rPr>
          <w:rFonts w:cs="Arial"/>
          <w:noProof/>
          <w:lang w:eastAsia="en-GB" w:bidi="ar-SA"/>
        </w:rPr>
        <w:drawing>
          <wp:inline distT="0" distB="0" distL="0" distR="0" wp14:anchorId="398507B1" wp14:editId="3CB7415D">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7B80847" w14:textId="77777777" w:rsidR="00A671E6" w:rsidRPr="00A671E6" w:rsidRDefault="00A671E6" w:rsidP="00A671E6">
      <w:pPr>
        <w:rPr>
          <w:color w:val="FF0000"/>
        </w:rPr>
      </w:pPr>
    </w:p>
    <w:p w14:paraId="1AC6CD3F" w14:textId="77777777" w:rsidR="004A4DC2" w:rsidRPr="004A4DC2" w:rsidRDefault="004A4DC2" w:rsidP="004A4DC2">
      <w:pPr>
        <w:widowControl/>
        <w:tabs>
          <w:tab w:val="left" w:pos="851"/>
        </w:tabs>
        <w:rPr>
          <w:b/>
          <w:sz w:val="28"/>
          <w:szCs w:val="28"/>
          <w:lang w:bidi="ar-SA"/>
        </w:rPr>
      </w:pPr>
      <w:r w:rsidRPr="004A4DC2">
        <w:rPr>
          <w:b/>
          <w:sz w:val="28"/>
          <w:szCs w:val="28"/>
          <w:lang w:bidi="ar-SA"/>
        </w:rPr>
        <w:t>20 August 2015</w:t>
      </w:r>
    </w:p>
    <w:p w14:paraId="57BCA035" w14:textId="77777777" w:rsidR="004A4DC2" w:rsidRPr="004A4DC2" w:rsidRDefault="004A4DC2" w:rsidP="004A4DC2">
      <w:pPr>
        <w:widowControl/>
        <w:rPr>
          <w:b/>
          <w:sz w:val="28"/>
          <w:szCs w:val="28"/>
          <w:lang w:bidi="ar-SA"/>
        </w:rPr>
      </w:pPr>
      <w:r w:rsidRPr="004A4DC2">
        <w:rPr>
          <w:b/>
          <w:sz w:val="28"/>
          <w:szCs w:val="28"/>
          <w:lang w:bidi="ar-SA"/>
        </w:rPr>
        <w:t>[19–15]</w:t>
      </w:r>
    </w:p>
    <w:p w14:paraId="340D30CC" w14:textId="77777777" w:rsidR="00A671E6" w:rsidRPr="00A671E6" w:rsidRDefault="00A671E6" w:rsidP="00A671E6"/>
    <w:p w14:paraId="7915CBC3" w14:textId="51B23CEE" w:rsidR="0012388D" w:rsidRPr="000B427A" w:rsidRDefault="00B425AA" w:rsidP="00B425AA">
      <w:pPr>
        <w:pStyle w:val="FSTitle"/>
      </w:pPr>
      <w:r w:rsidRPr="00CA5734">
        <w:t>A</w:t>
      </w:r>
      <w:r w:rsidR="00DD265C">
        <w:t>pproval</w:t>
      </w:r>
      <w:r w:rsidRPr="00CA5734">
        <w:t xml:space="preserve"> R</w:t>
      </w:r>
      <w:r w:rsidR="00DD265C" w:rsidRPr="00CA5734">
        <w:t>eport</w:t>
      </w:r>
      <w:r w:rsidRPr="000B427A">
        <w:t xml:space="preserve"> </w:t>
      </w:r>
      <w:r w:rsidRPr="003273A5">
        <w:t>–</w:t>
      </w:r>
      <w:r w:rsidR="00872007">
        <w:t xml:space="preserve"> </w:t>
      </w:r>
      <w:r w:rsidR="00CA5734" w:rsidRPr="003273A5">
        <w:t>P</w:t>
      </w:r>
      <w:r w:rsidR="00DD265C" w:rsidRPr="003273A5">
        <w:t>roposal</w:t>
      </w:r>
      <w:r w:rsidR="00CA5734" w:rsidRPr="003273A5">
        <w:t xml:space="preserve"> </w:t>
      </w:r>
      <w:r w:rsidR="003273A5" w:rsidRPr="003273A5">
        <w:t>M1012</w:t>
      </w:r>
    </w:p>
    <w:p w14:paraId="5436E6E2" w14:textId="77777777" w:rsidR="003A7B84" w:rsidRPr="00CA5734" w:rsidRDefault="003A7B84" w:rsidP="00A671E6"/>
    <w:p w14:paraId="59444D48" w14:textId="1B2DBBE6" w:rsidR="0012388D" w:rsidRPr="00872007" w:rsidRDefault="00872007" w:rsidP="00B425AA">
      <w:pPr>
        <w:pStyle w:val="FSTitle"/>
      </w:pPr>
      <w:r w:rsidRPr="00872007">
        <w:t>Amendments to Standard 1.4.2</w:t>
      </w:r>
    </w:p>
    <w:p w14:paraId="2C55B38D" w14:textId="77777777" w:rsidR="003A7B84" w:rsidRPr="00E327A6" w:rsidRDefault="003A7B84" w:rsidP="00871116">
      <w:pPr>
        <w:pBdr>
          <w:bottom w:val="single" w:sz="12" w:space="1" w:color="auto"/>
        </w:pBdr>
        <w:tabs>
          <w:tab w:val="left" w:pos="1140"/>
        </w:tabs>
        <w:rPr>
          <w:rFonts w:cs="Arial"/>
          <w:bCs/>
        </w:rPr>
      </w:pPr>
    </w:p>
    <w:p w14:paraId="6ED5ED61" w14:textId="77777777" w:rsidR="003A7B84" w:rsidRPr="00E327A6" w:rsidRDefault="003A7B84" w:rsidP="003A7B84"/>
    <w:p w14:paraId="2000952E" w14:textId="5E2784FC" w:rsidR="00EB6590" w:rsidRPr="00872007" w:rsidRDefault="000F3CFE" w:rsidP="00CA5734">
      <w:r w:rsidRPr="00872007">
        <w:t>Food Standards Australia New Zealand (FSANZ) has</w:t>
      </w:r>
      <w:r w:rsidR="00081B0A" w:rsidRPr="00872007">
        <w:t xml:space="preserve"> assessed </w:t>
      </w:r>
      <w:r w:rsidR="00CA5734" w:rsidRPr="00872007">
        <w:t>a proposal</w:t>
      </w:r>
      <w:r w:rsidR="00081B0A" w:rsidRPr="00872007">
        <w:t xml:space="preserve"> </w:t>
      </w:r>
      <w:r w:rsidR="003A7B84" w:rsidRPr="00872007">
        <w:t xml:space="preserve">prepared by FSANZ </w:t>
      </w:r>
      <w:r w:rsidR="00872007" w:rsidRPr="00872007">
        <w:t xml:space="preserve">to consider introducing certain temporary maximum residue limits (MRLs) for residues of agricultural and veterinary chemicals that may occur in food, in order to align standards with the Australian Pesticides and Veterinary Medicines Authority (APVMA) temporary MRLs for coumatetralyl and warfarin in pork commodities. </w:t>
      </w:r>
    </w:p>
    <w:p w14:paraId="5167D19D" w14:textId="77777777" w:rsidR="00CA5734" w:rsidRDefault="00CA5734" w:rsidP="00CA5734"/>
    <w:p w14:paraId="16E14DF4" w14:textId="68BD8DD6" w:rsidR="00081B0A" w:rsidRDefault="00081B0A" w:rsidP="00CA5734">
      <w:r>
        <w:t xml:space="preserve">On </w:t>
      </w:r>
      <w:r w:rsidR="00872007">
        <w:t xml:space="preserve">25 May </w:t>
      </w:r>
      <w:r w:rsidR="00872007" w:rsidRPr="00872007">
        <w:t>2015</w:t>
      </w:r>
      <w:r w:rsidR="003A7B84" w:rsidRPr="00872007">
        <w:t>,</w:t>
      </w:r>
      <w:r w:rsidRPr="00872007">
        <w:t xml:space="preserve"> FSANZ </w:t>
      </w:r>
      <w:r>
        <w:t xml:space="preserve">sought </w:t>
      </w:r>
      <w:r w:rsidR="003A7B84">
        <w:t xml:space="preserve">submissions </w:t>
      </w:r>
      <w:r w:rsidR="00A671E6">
        <w:t xml:space="preserve">on </w:t>
      </w:r>
      <w:r w:rsidR="00F526BD">
        <w:t xml:space="preserve">a draft </w:t>
      </w:r>
      <w:r w:rsidR="00E30092" w:rsidRPr="00872007">
        <w:t xml:space="preserve">variation </w:t>
      </w:r>
      <w:r w:rsidR="003A7B84">
        <w:t xml:space="preserve">and published an </w:t>
      </w:r>
      <w:r w:rsidR="00EC21DF">
        <w:t>associated r</w:t>
      </w:r>
      <w:r w:rsidR="003A7B84">
        <w:t>eport</w:t>
      </w:r>
      <w:r>
        <w:t>.</w:t>
      </w:r>
      <w:r w:rsidR="00872007">
        <w:t xml:space="preserve"> FSANZ received three </w:t>
      </w:r>
      <w:r w:rsidR="00F526BD">
        <w:t>submissions.</w:t>
      </w:r>
    </w:p>
    <w:p w14:paraId="5C783BEB" w14:textId="77777777" w:rsidR="00CA5734" w:rsidRDefault="00CA5734" w:rsidP="00CA5734"/>
    <w:p w14:paraId="644C3027" w14:textId="77777777" w:rsidR="004A4DC2" w:rsidRPr="004A4DC2" w:rsidRDefault="00081B0A" w:rsidP="00CA5734">
      <w:r w:rsidRPr="004A4DC2">
        <w:t xml:space="preserve">FSANZ approved the draft </w:t>
      </w:r>
      <w:r w:rsidR="00E30092" w:rsidRPr="004A4DC2">
        <w:t xml:space="preserve">variation </w:t>
      </w:r>
      <w:r w:rsidR="0012388D" w:rsidRPr="004A4DC2">
        <w:t xml:space="preserve">on </w:t>
      </w:r>
      <w:r w:rsidR="004A4DC2" w:rsidRPr="004A4DC2">
        <w:t>12 August 2015</w:t>
      </w:r>
      <w:r w:rsidRPr="004A4DC2">
        <w:t xml:space="preserve">. </w:t>
      </w:r>
      <w:r w:rsidR="003A7B84" w:rsidRPr="004A4DC2">
        <w:t xml:space="preserve">The </w:t>
      </w:r>
      <w:r w:rsidR="00011187" w:rsidRPr="004A4DC2">
        <w:rPr>
          <w:rFonts w:cs="Helvetica"/>
          <w:lang w:val="en-AU"/>
        </w:rPr>
        <w:t xml:space="preserve">Australia and New Zealand Ministerial Forum on Food </w:t>
      </w:r>
      <w:r w:rsidR="00011187" w:rsidRPr="004A4DC2">
        <w:rPr>
          <w:rFonts w:cs="Arial"/>
        </w:rPr>
        <w:t>Regulation</w:t>
      </w:r>
      <w:r w:rsidR="00011187" w:rsidRPr="004A4DC2">
        <w:rPr>
          <w:rStyle w:val="FootnoteReference"/>
          <w:rFonts w:cs="Arial"/>
        </w:rPr>
        <w:footnoteReference w:id="1"/>
      </w:r>
      <w:r w:rsidR="00011187" w:rsidRPr="004A4DC2">
        <w:rPr>
          <w:rFonts w:cs="Helvetica"/>
          <w:lang w:val="en-AU"/>
        </w:rPr>
        <w:t xml:space="preserve"> </w:t>
      </w:r>
      <w:r w:rsidR="00861C13" w:rsidRPr="004A4DC2">
        <w:rPr>
          <w:rFonts w:cs="Arial"/>
        </w:rPr>
        <w:t>(F</w:t>
      </w:r>
      <w:r w:rsidR="00014E34" w:rsidRPr="004A4DC2">
        <w:rPr>
          <w:rFonts w:cs="Arial"/>
        </w:rPr>
        <w:t>orum</w:t>
      </w:r>
      <w:r w:rsidR="00861C13" w:rsidRPr="004A4DC2">
        <w:rPr>
          <w:rFonts w:cs="Arial"/>
        </w:rPr>
        <w:t>)</w:t>
      </w:r>
      <w:r w:rsidR="003A7B84" w:rsidRPr="004A4DC2">
        <w:t xml:space="preserve"> was notified of FSANZ’s decision on </w:t>
      </w:r>
    </w:p>
    <w:p w14:paraId="0B9F7BA5" w14:textId="59E045BF" w:rsidR="00081B0A" w:rsidRPr="004A4DC2" w:rsidRDefault="004A4DC2" w:rsidP="00CA5734">
      <w:r w:rsidRPr="004A4DC2">
        <w:t>19 August 2015</w:t>
      </w:r>
      <w:r w:rsidR="003A7B84" w:rsidRPr="004A4DC2">
        <w:t>.</w:t>
      </w:r>
    </w:p>
    <w:p w14:paraId="0057112F" w14:textId="77777777" w:rsidR="00CA5734" w:rsidRPr="004A4DC2" w:rsidRDefault="00CA5734" w:rsidP="00CA5734"/>
    <w:p w14:paraId="273AD9F2" w14:textId="2F0FFC82" w:rsidR="00081B0A" w:rsidRPr="004A4DC2" w:rsidRDefault="003A7B84" w:rsidP="00CA5734">
      <w:r w:rsidRPr="004A4DC2">
        <w:t>This R</w:t>
      </w:r>
      <w:r w:rsidR="00B425AA" w:rsidRPr="004A4DC2">
        <w:t xml:space="preserve">eport is provided pursuant to </w:t>
      </w:r>
      <w:r w:rsidR="009A2699" w:rsidRPr="004A4DC2">
        <w:t>paragraph</w:t>
      </w:r>
      <w:r w:rsidR="00081B0A" w:rsidRPr="004A4DC2">
        <w:t xml:space="preserve"> </w:t>
      </w:r>
      <w:r w:rsidR="00F33470" w:rsidRPr="004A4DC2">
        <w:t>63(1)(b)</w:t>
      </w:r>
      <w:r w:rsidR="00081B0A" w:rsidRPr="004A4DC2">
        <w:t xml:space="preserve"> of the </w:t>
      </w:r>
      <w:r w:rsidR="00081B0A" w:rsidRPr="004A4DC2">
        <w:rPr>
          <w:i/>
        </w:rPr>
        <w:t>Food Standards Australia New Zealand Act 1991</w:t>
      </w:r>
      <w:r w:rsidR="00081B0A" w:rsidRPr="004A4DC2">
        <w:t xml:space="preserve"> (the FSANZ Act).</w:t>
      </w:r>
    </w:p>
    <w:p w14:paraId="17C7D04A" w14:textId="77777777" w:rsidR="00F526BD" w:rsidRDefault="00F526BD" w:rsidP="00A671E6"/>
    <w:p w14:paraId="678E71A9" w14:textId="77777777" w:rsidR="00EB6590" w:rsidRDefault="00EB6590" w:rsidP="00F526BD"/>
    <w:p w14:paraId="5EAB44DF" w14:textId="77777777" w:rsidR="00A671E6" w:rsidRDefault="00A671E6" w:rsidP="00CC5468">
      <w:pPr>
        <w:sectPr w:rsidR="00A671E6" w:rsidSect="004A4DC2">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6B7E0F1A"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bookmarkStart w:id="0" w:name="_GoBack"/>
      <w:bookmarkEnd w:id="0"/>
    </w:p>
    <w:p w14:paraId="5E164E75" w14:textId="77777777" w:rsidR="00CE59AA" w:rsidRPr="006E10A1" w:rsidRDefault="00CE59AA" w:rsidP="00CE59AA">
      <w:pPr>
        <w:rPr>
          <w:rFonts w:cs="Arial"/>
          <w:sz w:val="20"/>
          <w:szCs w:val="20"/>
        </w:rPr>
      </w:pPr>
    </w:p>
    <w:p w14:paraId="364049D0" w14:textId="77777777" w:rsidR="004517CD" w:rsidRPr="004517CD"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4517CD">
        <w:rPr>
          <w:rFonts w:ascii="Arial" w:hAnsi="Arial" w:cs="Arial"/>
          <w:b w:val="0"/>
          <w:bCs w:val="0"/>
          <w:caps w:val="0"/>
          <w:smallCaps/>
        </w:rPr>
        <w:fldChar w:fldCharType="begin"/>
      </w:r>
      <w:r w:rsidRPr="004517CD">
        <w:rPr>
          <w:rFonts w:ascii="Arial" w:hAnsi="Arial" w:cs="Arial"/>
        </w:rPr>
        <w:instrText xml:space="preserve"> TOC \h \z \t "Heading 1,1,Heading 2,2,Heading 3,3" </w:instrText>
      </w:r>
      <w:r w:rsidRPr="004517CD">
        <w:rPr>
          <w:rFonts w:ascii="Arial" w:hAnsi="Arial" w:cs="Arial"/>
          <w:b w:val="0"/>
          <w:bCs w:val="0"/>
          <w:caps w:val="0"/>
          <w:smallCaps/>
        </w:rPr>
        <w:fldChar w:fldCharType="separate"/>
      </w:r>
      <w:hyperlink w:anchor="_Toc427156653" w:history="1">
        <w:r w:rsidR="004517CD" w:rsidRPr="004517CD">
          <w:rPr>
            <w:rStyle w:val="Hyperlink"/>
            <w:rFonts w:ascii="Arial" w:hAnsi="Arial" w:cs="Arial"/>
            <w:noProof/>
          </w:rPr>
          <w:t>Executive summary</w:t>
        </w:r>
        <w:r w:rsidR="004517CD" w:rsidRPr="004517CD">
          <w:rPr>
            <w:rFonts w:ascii="Arial" w:hAnsi="Arial" w:cs="Arial"/>
            <w:noProof/>
            <w:webHidden/>
          </w:rPr>
          <w:tab/>
        </w:r>
        <w:r w:rsidR="004517CD" w:rsidRPr="004517CD">
          <w:rPr>
            <w:rFonts w:ascii="Arial" w:hAnsi="Arial" w:cs="Arial"/>
            <w:noProof/>
            <w:webHidden/>
          </w:rPr>
          <w:fldChar w:fldCharType="begin"/>
        </w:r>
        <w:r w:rsidR="004517CD" w:rsidRPr="004517CD">
          <w:rPr>
            <w:rFonts w:ascii="Arial" w:hAnsi="Arial" w:cs="Arial"/>
            <w:noProof/>
            <w:webHidden/>
          </w:rPr>
          <w:instrText xml:space="preserve"> PAGEREF _Toc427156653 \h </w:instrText>
        </w:r>
        <w:r w:rsidR="004517CD" w:rsidRPr="004517CD">
          <w:rPr>
            <w:rFonts w:ascii="Arial" w:hAnsi="Arial" w:cs="Arial"/>
            <w:noProof/>
            <w:webHidden/>
          </w:rPr>
        </w:r>
        <w:r w:rsidR="004517CD" w:rsidRPr="004517CD">
          <w:rPr>
            <w:rFonts w:ascii="Arial" w:hAnsi="Arial" w:cs="Arial"/>
            <w:noProof/>
            <w:webHidden/>
          </w:rPr>
          <w:fldChar w:fldCharType="separate"/>
        </w:r>
        <w:r w:rsidR="004517CD" w:rsidRPr="004517CD">
          <w:rPr>
            <w:rFonts w:ascii="Arial" w:hAnsi="Arial" w:cs="Arial"/>
            <w:noProof/>
            <w:webHidden/>
          </w:rPr>
          <w:t>2</w:t>
        </w:r>
        <w:r w:rsidR="004517CD" w:rsidRPr="004517CD">
          <w:rPr>
            <w:rFonts w:ascii="Arial" w:hAnsi="Arial" w:cs="Arial"/>
            <w:noProof/>
            <w:webHidden/>
          </w:rPr>
          <w:fldChar w:fldCharType="end"/>
        </w:r>
      </w:hyperlink>
    </w:p>
    <w:p w14:paraId="5B5C8D06" w14:textId="77777777" w:rsidR="004517CD" w:rsidRPr="004517CD" w:rsidRDefault="004517C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7156654" w:history="1">
        <w:r w:rsidRPr="004517CD">
          <w:rPr>
            <w:rStyle w:val="Hyperlink"/>
            <w:rFonts w:ascii="Arial" w:hAnsi="Arial" w:cs="Arial"/>
            <w:noProof/>
          </w:rPr>
          <w:t>1</w:t>
        </w:r>
        <w:r w:rsidRPr="004517CD">
          <w:rPr>
            <w:rFonts w:ascii="Arial" w:eastAsiaTheme="minorEastAsia" w:hAnsi="Arial" w:cs="Arial"/>
            <w:b w:val="0"/>
            <w:bCs w:val="0"/>
            <w:caps w:val="0"/>
            <w:noProof/>
            <w:sz w:val="22"/>
            <w:szCs w:val="22"/>
            <w:lang w:eastAsia="en-GB" w:bidi="ar-SA"/>
          </w:rPr>
          <w:tab/>
        </w:r>
        <w:r w:rsidRPr="004517CD">
          <w:rPr>
            <w:rStyle w:val="Hyperlink"/>
            <w:rFonts w:ascii="Arial" w:hAnsi="Arial" w:cs="Arial"/>
            <w:noProof/>
          </w:rPr>
          <w:t>Introduction</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_Toc427156654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3</w:t>
        </w:r>
        <w:r w:rsidRPr="004517CD">
          <w:rPr>
            <w:rFonts w:ascii="Arial" w:hAnsi="Arial" w:cs="Arial"/>
            <w:noProof/>
            <w:webHidden/>
          </w:rPr>
          <w:fldChar w:fldCharType="end"/>
        </w:r>
      </w:hyperlink>
    </w:p>
    <w:p w14:paraId="089AFE91"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55" w:history="1">
        <w:r w:rsidRPr="004517CD">
          <w:rPr>
            <w:rStyle w:val="Hyperlink"/>
            <w:rFonts w:ascii="Arial" w:hAnsi="Arial" w:cs="Arial"/>
            <w:noProof/>
          </w:rPr>
          <w:t>1.1</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rPr>
          <w:t>The Proposal</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_Toc427156655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3</w:t>
        </w:r>
        <w:r w:rsidRPr="004517CD">
          <w:rPr>
            <w:rFonts w:ascii="Arial" w:hAnsi="Arial" w:cs="Arial"/>
            <w:noProof/>
            <w:webHidden/>
          </w:rPr>
          <w:fldChar w:fldCharType="end"/>
        </w:r>
      </w:hyperlink>
    </w:p>
    <w:p w14:paraId="3D24BCEB"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56" w:history="1">
        <w:r w:rsidRPr="004517CD">
          <w:rPr>
            <w:rStyle w:val="Hyperlink"/>
            <w:rFonts w:ascii="Arial" w:hAnsi="Arial" w:cs="Arial"/>
            <w:noProof/>
          </w:rPr>
          <w:t>1.2</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rPr>
          <w:t>The current Standard</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_Toc427156656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3</w:t>
        </w:r>
        <w:r w:rsidRPr="004517CD">
          <w:rPr>
            <w:rFonts w:ascii="Arial" w:hAnsi="Arial" w:cs="Arial"/>
            <w:noProof/>
            <w:webHidden/>
          </w:rPr>
          <w:fldChar w:fldCharType="end"/>
        </w:r>
      </w:hyperlink>
    </w:p>
    <w:p w14:paraId="45705EB5" w14:textId="77777777" w:rsidR="004517CD" w:rsidRPr="004517CD" w:rsidRDefault="004517C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7156657" w:history="1">
        <w:r w:rsidRPr="004517CD">
          <w:rPr>
            <w:rStyle w:val="Hyperlink"/>
            <w:rFonts w:ascii="Arial" w:hAnsi="Arial" w:cs="Arial"/>
            <w:noProof/>
          </w:rPr>
          <w:t>1.2.1</w:t>
        </w:r>
        <w:r w:rsidRPr="004517CD">
          <w:rPr>
            <w:rFonts w:ascii="Arial" w:eastAsiaTheme="minorEastAsia" w:hAnsi="Arial" w:cs="Arial"/>
            <w:i w:val="0"/>
            <w:iCs w:val="0"/>
            <w:noProof/>
            <w:sz w:val="22"/>
            <w:szCs w:val="22"/>
            <w:lang w:eastAsia="en-GB" w:bidi="ar-SA"/>
          </w:rPr>
          <w:tab/>
        </w:r>
        <w:r w:rsidRPr="004517CD">
          <w:rPr>
            <w:rStyle w:val="Hyperlink"/>
            <w:rFonts w:ascii="Arial" w:hAnsi="Arial" w:cs="Arial"/>
            <w:noProof/>
          </w:rPr>
          <w:t>International Standards and Codex Alimentarius Commission Standards</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_Toc427156657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3</w:t>
        </w:r>
        <w:r w:rsidRPr="004517CD">
          <w:rPr>
            <w:rFonts w:ascii="Arial" w:hAnsi="Arial" w:cs="Arial"/>
            <w:noProof/>
            <w:webHidden/>
          </w:rPr>
          <w:fldChar w:fldCharType="end"/>
        </w:r>
      </w:hyperlink>
    </w:p>
    <w:p w14:paraId="02EE2FB5"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58" w:history="1">
        <w:r w:rsidRPr="004517CD">
          <w:rPr>
            <w:rStyle w:val="Hyperlink"/>
            <w:rFonts w:ascii="Arial" w:hAnsi="Arial" w:cs="Arial"/>
            <w:noProof/>
            <w:u w:color="FFFF00"/>
          </w:rPr>
          <w:t>1.3</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u w:color="FFFF00"/>
          </w:rPr>
          <w:t xml:space="preserve">Reasons for </w:t>
        </w:r>
        <w:r w:rsidRPr="004517CD">
          <w:rPr>
            <w:rStyle w:val="Hyperlink"/>
            <w:rFonts w:ascii="Arial" w:hAnsi="Arial" w:cs="Arial"/>
            <w:noProof/>
          </w:rPr>
          <w:t>preparing Proposal</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_Toc427156658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3</w:t>
        </w:r>
        <w:r w:rsidRPr="004517CD">
          <w:rPr>
            <w:rFonts w:ascii="Arial" w:hAnsi="Arial" w:cs="Arial"/>
            <w:noProof/>
            <w:webHidden/>
          </w:rPr>
          <w:fldChar w:fldCharType="end"/>
        </w:r>
      </w:hyperlink>
    </w:p>
    <w:p w14:paraId="06A8E017"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59" w:history="1">
        <w:r w:rsidRPr="004517CD">
          <w:rPr>
            <w:rStyle w:val="Hyperlink"/>
            <w:rFonts w:ascii="Arial" w:hAnsi="Arial" w:cs="Arial"/>
            <w:noProof/>
          </w:rPr>
          <w:t>1.4</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rPr>
          <w:t>Procedure for assessment</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_Toc427156659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4</w:t>
        </w:r>
        <w:r w:rsidRPr="004517CD">
          <w:rPr>
            <w:rFonts w:ascii="Arial" w:hAnsi="Arial" w:cs="Arial"/>
            <w:noProof/>
            <w:webHidden/>
          </w:rPr>
          <w:fldChar w:fldCharType="end"/>
        </w:r>
      </w:hyperlink>
    </w:p>
    <w:p w14:paraId="17A981B7"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60" w:history="1">
        <w:r w:rsidRPr="004517CD">
          <w:rPr>
            <w:rStyle w:val="Hyperlink"/>
            <w:rFonts w:ascii="Arial" w:hAnsi="Arial" w:cs="Arial"/>
            <w:noProof/>
          </w:rPr>
          <w:t>1.5</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rPr>
          <w:t>Decision</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_Toc427156660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4</w:t>
        </w:r>
        <w:r w:rsidRPr="004517CD">
          <w:rPr>
            <w:rFonts w:ascii="Arial" w:hAnsi="Arial" w:cs="Arial"/>
            <w:noProof/>
            <w:webHidden/>
          </w:rPr>
          <w:fldChar w:fldCharType="end"/>
        </w:r>
      </w:hyperlink>
    </w:p>
    <w:p w14:paraId="5CE20C29" w14:textId="77777777" w:rsidR="004517CD" w:rsidRPr="004517CD" w:rsidRDefault="004517C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7156661" w:history="1">
        <w:r w:rsidRPr="004517CD">
          <w:rPr>
            <w:rStyle w:val="Hyperlink"/>
            <w:rFonts w:ascii="Arial" w:hAnsi="Arial" w:cs="Arial"/>
            <w:noProof/>
          </w:rPr>
          <w:t>2</w:t>
        </w:r>
        <w:r w:rsidRPr="004517CD">
          <w:rPr>
            <w:rFonts w:ascii="Arial" w:eastAsiaTheme="minorEastAsia" w:hAnsi="Arial" w:cs="Arial"/>
            <w:b w:val="0"/>
            <w:bCs w:val="0"/>
            <w:caps w:val="0"/>
            <w:noProof/>
            <w:sz w:val="22"/>
            <w:szCs w:val="22"/>
            <w:lang w:eastAsia="en-GB" w:bidi="ar-SA"/>
          </w:rPr>
          <w:tab/>
        </w:r>
        <w:r w:rsidRPr="004517CD">
          <w:rPr>
            <w:rStyle w:val="Hyperlink"/>
            <w:rFonts w:ascii="Arial" w:hAnsi="Arial" w:cs="Arial"/>
            <w:noProof/>
          </w:rPr>
          <w:t xml:space="preserve">Summary </w:t>
        </w:r>
        <w:r w:rsidRPr="004517CD">
          <w:rPr>
            <w:rStyle w:val="Hyperlink"/>
            <w:rFonts w:ascii="Arial" w:hAnsi="Arial" w:cs="Arial"/>
            <w:noProof/>
            <w:u w:color="FFFF00"/>
          </w:rPr>
          <w:t>of</w:t>
        </w:r>
        <w:r w:rsidRPr="004517CD">
          <w:rPr>
            <w:rStyle w:val="Hyperlink"/>
            <w:rFonts w:ascii="Arial" w:hAnsi="Arial" w:cs="Arial"/>
            <w:noProof/>
          </w:rPr>
          <w:t xml:space="preserve"> the findings</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_Toc427156661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4</w:t>
        </w:r>
        <w:r w:rsidRPr="004517CD">
          <w:rPr>
            <w:rFonts w:ascii="Arial" w:hAnsi="Arial" w:cs="Arial"/>
            <w:noProof/>
            <w:webHidden/>
          </w:rPr>
          <w:fldChar w:fldCharType="end"/>
        </w:r>
      </w:hyperlink>
    </w:p>
    <w:p w14:paraId="66F96C6F"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62" w:history="1">
        <w:r w:rsidRPr="004517CD">
          <w:rPr>
            <w:rStyle w:val="Hyperlink"/>
            <w:rFonts w:ascii="Arial" w:hAnsi="Arial" w:cs="Arial"/>
            <w:noProof/>
          </w:rPr>
          <w:t>2.1</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rPr>
          <w:t>Summary of issues raised in submissions</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_Toc427156662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4</w:t>
        </w:r>
        <w:r w:rsidRPr="004517CD">
          <w:rPr>
            <w:rFonts w:ascii="Arial" w:hAnsi="Arial" w:cs="Arial"/>
            <w:noProof/>
            <w:webHidden/>
          </w:rPr>
          <w:fldChar w:fldCharType="end"/>
        </w:r>
      </w:hyperlink>
    </w:p>
    <w:p w14:paraId="09C1C966"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63" w:history="1">
        <w:r w:rsidRPr="004517CD">
          <w:rPr>
            <w:rStyle w:val="Hyperlink"/>
            <w:rFonts w:ascii="Arial" w:hAnsi="Arial" w:cs="Arial"/>
            <w:noProof/>
          </w:rPr>
          <w:t>2.2</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rPr>
          <w:t>Risk assessment</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_Toc427156663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6</w:t>
        </w:r>
        <w:r w:rsidRPr="004517CD">
          <w:rPr>
            <w:rFonts w:ascii="Arial" w:hAnsi="Arial" w:cs="Arial"/>
            <w:noProof/>
            <w:webHidden/>
          </w:rPr>
          <w:fldChar w:fldCharType="end"/>
        </w:r>
      </w:hyperlink>
    </w:p>
    <w:p w14:paraId="6A58172F"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64" w:history="1">
        <w:r w:rsidRPr="004517CD">
          <w:rPr>
            <w:rStyle w:val="Hyperlink"/>
            <w:rFonts w:ascii="Arial" w:hAnsi="Arial" w:cs="Arial"/>
            <w:noProof/>
          </w:rPr>
          <w:t>2.3</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rPr>
          <w:t>Risk management</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_Toc427156664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7</w:t>
        </w:r>
        <w:r w:rsidRPr="004517CD">
          <w:rPr>
            <w:rFonts w:ascii="Arial" w:hAnsi="Arial" w:cs="Arial"/>
            <w:noProof/>
            <w:webHidden/>
          </w:rPr>
          <w:fldChar w:fldCharType="end"/>
        </w:r>
      </w:hyperlink>
    </w:p>
    <w:p w14:paraId="507E4AB4"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65" w:history="1">
        <w:r w:rsidRPr="004517CD">
          <w:rPr>
            <w:rStyle w:val="Hyperlink"/>
            <w:rFonts w:ascii="Arial" w:hAnsi="Arial" w:cs="Arial"/>
            <w:noProof/>
          </w:rPr>
          <w:t>2.4</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rPr>
          <w:t>Risk communication</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_Toc427156665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7</w:t>
        </w:r>
        <w:r w:rsidRPr="004517CD">
          <w:rPr>
            <w:rFonts w:ascii="Arial" w:hAnsi="Arial" w:cs="Arial"/>
            <w:noProof/>
            <w:webHidden/>
          </w:rPr>
          <w:fldChar w:fldCharType="end"/>
        </w:r>
      </w:hyperlink>
    </w:p>
    <w:p w14:paraId="1804B30F" w14:textId="77777777" w:rsidR="004517CD" w:rsidRPr="004517CD" w:rsidRDefault="004517C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7156666" w:history="1">
        <w:r w:rsidRPr="004517CD">
          <w:rPr>
            <w:rStyle w:val="Hyperlink"/>
            <w:rFonts w:ascii="Arial" w:hAnsi="Arial" w:cs="Arial"/>
            <w:noProof/>
          </w:rPr>
          <w:t>2.4.1</w:t>
        </w:r>
        <w:r w:rsidRPr="004517CD">
          <w:rPr>
            <w:rFonts w:ascii="Arial" w:eastAsiaTheme="minorEastAsia" w:hAnsi="Arial" w:cs="Arial"/>
            <w:i w:val="0"/>
            <w:iCs w:val="0"/>
            <w:noProof/>
            <w:sz w:val="22"/>
            <w:szCs w:val="22"/>
            <w:lang w:eastAsia="en-GB" w:bidi="ar-SA"/>
          </w:rPr>
          <w:tab/>
        </w:r>
        <w:r w:rsidRPr="004517CD">
          <w:rPr>
            <w:rStyle w:val="Hyperlink"/>
            <w:rFonts w:ascii="Arial" w:hAnsi="Arial" w:cs="Arial"/>
            <w:noProof/>
          </w:rPr>
          <w:t>Consultation</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_Toc427156666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8</w:t>
        </w:r>
        <w:r w:rsidRPr="004517CD">
          <w:rPr>
            <w:rFonts w:ascii="Arial" w:hAnsi="Arial" w:cs="Arial"/>
            <w:noProof/>
            <w:webHidden/>
          </w:rPr>
          <w:fldChar w:fldCharType="end"/>
        </w:r>
      </w:hyperlink>
    </w:p>
    <w:p w14:paraId="07560DDC" w14:textId="77777777" w:rsidR="004517CD" w:rsidRPr="004517CD" w:rsidRDefault="004517C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7156667" w:history="1">
        <w:r w:rsidRPr="004517CD">
          <w:rPr>
            <w:rStyle w:val="Hyperlink"/>
            <w:rFonts w:ascii="Arial" w:hAnsi="Arial" w:cs="Arial"/>
            <w:noProof/>
          </w:rPr>
          <w:t>2.4.2</w:t>
        </w:r>
        <w:r w:rsidRPr="004517CD">
          <w:rPr>
            <w:rFonts w:ascii="Arial" w:eastAsiaTheme="minorEastAsia" w:hAnsi="Arial" w:cs="Arial"/>
            <w:i w:val="0"/>
            <w:iCs w:val="0"/>
            <w:noProof/>
            <w:sz w:val="22"/>
            <w:szCs w:val="22"/>
            <w:lang w:eastAsia="en-GB" w:bidi="ar-SA"/>
          </w:rPr>
          <w:tab/>
        </w:r>
        <w:r w:rsidRPr="004517CD">
          <w:rPr>
            <w:rStyle w:val="Hyperlink"/>
            <w:rFonts w:ascii="Arial" w:hAnsi="Arial" w:cs="Arial"/>
            <w:noProof/>
          </w:rPr>
          <w:t>World Trade Organization (WTO)</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_Toc427156667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8</w:t>
        </w:r>
        <w:r w:rsidRPr="004517CD">
          <w:rPr>
            <w:rFonts w:ascii="Arial" w:hAnsi="Arial" w:cs="Arial"/>
            <w:noProof/>
            <w:webHidden/>
          </w:rPr>
          <w:fldChar w:fldCharType="end"/>
        </w:r>
      </w:hyperlink>
    </w:p>
    <w:p w14:paraId="0B5E685F" w14:textId="77777777" w:rsidR="004517CD" w:rsidRPr="004517CD" w:rsidRDefault="004517C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7156668" w:history="1">
        <w:r w:rsidRPr="004517CD">
          <w:rPr>
            <w:rStyle w:val="Hyperlink"/>
            <w:rFonts w:ascii="Arial" w:hAnsi="Arial" w:cs="Arial"/>
            <w:noProof/>
          </w:rPr>
          <w:t>2.5</w:t>
        </w:r>
        <w:r w:rsidRPr="004517CD">
          <w:rPr>
            <w:rFonts w:ascii="Arial" w:eastAsiaTheme="minorEastAsia" w:hAnsi="Arial" w:cs="Arial"/>
            <w:smallCaps w:val="0"/>
            <w:noProof/>
            <w:sz w:val="22"/>
            <w:szCs w:val="22"/>
            <w:lang w:eastAsia="en-GB" w:bidi="ar-SA"/>
          </w:rPr>
          <w:tab/>
        </w:r>
        <w:r w:rsidRPr="004517CD">
          <w:rPr>
            <w:rStyle w:val="Hyperlink"/>
            <w:rFonts w:ascii="Arial" w:hAnsi="Arial" w:cs="Arial"/>
            <w:noProof/>
          </w:rPr>
          <w:t>FSANZ Act assessment requirements</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_Toc427156668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8</w:t>
        </w:r>
        <w:r w:rsidRPr="004517CD">
          <w:rPr>
            <w:rFonts w:ascii="Arial" w:hAnsi="Arial" w:cs="Arial"/>
            <w:noProof/>
            <w:webHidden/>
          </w:rPr>
          <w:fldChar w:fldCharType="end"/>
        </w:r>
      </w:hyperlink>
    </w:p>
    <w:p w14:paraId="3FD6C7DF" w14:textId="77777777" w:rsidR="004517CD" w:rsidRPr="004517CD" w:rsidRDefault="004517C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7156669" w:history="1">
        <w:r w:rsidRPr="004517CD">
          <w:rPr>
            <w:rStyle w:val="Hyperlink"/>
            <w:rFonts w:ascii="Arial" w:hAnsi="Arial" w:cs="Arial"/>
            <w:noProof/>
          </w:rPr>
          <w:t>2.5.1</w:t>
        </w:r>
        <w:r w:rsidRPr="004517CD">
          <w:rPr>
            <w:rFonts w:ascii="Arial" w:eastAsiaTheme="minorEastAsia" w:hAnsi="Arial" w:cs="Arial"/>
            <w:i w:val="0"/>
            <w:iCs w:val="0"/>
            <w:noProof/>
            <w:sz w:val="22"/>
            <w:szCs w:val="22"/>
            <w:lang w:eastAsia="en-GB" w:bidi="ar-SA"/>
          </w:rPr>
          <w:tab/>
        </w:r>
        <w:r w:rsidRPr="004517CD">
          <w:rPr>
            <w:rStyle w:val="Hyperlink"/>
            <w:rFonts w:ascii="Arial" w:hAnsi="Arial" w:cs="Arial"/>
            <w:noProof/>
          </w:rPr>
          <w:t>Section 59</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_Toc427156669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8</w:t>
        </w:r>
        <w:r w:rsidRPr="004517CD">
          <w:rPr>
            <w:rFonts w:ascii="Arial" w:hAnsi="Arial" w:cs="Arial"/>
            <w:noProof/>
            <w:webHidden/>
          </w:rPr>
          <w:fldChar w:fldCharType="end"/>
        </w:r>
      </w:hyperlink>
    </w:p>
    <w:p w14:paraId="2DBE9B2B" w14:textId="77777777" w:rsidR="004517CD" w:rsidRPr="004517CD" w:rsidRDefault="004517C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7156670" w:history="1">
        <w:r w:rsidRPr="004517CD">
          <w:rPr>
            <w:rStyle w:val="Hyperlink"/>
            <w:rFonts w:ascii="Arial" w:hAnsi="Arial" w:cs="Arial"/>
            <w:noProof/>
          </w:rPr>
          <w:t>2.5.2</w:t>
        </w:r>
        <w:r w:rsidRPr="004517CD">
          <w:rPr>
            <w:rFonts w:ascii="Arial" w:eastAsiaTheme="minorEastAsia" w:hAnsi="Arial" w:cs="Arial"/>
            <w:i w:val="0"/>
            <w:iCs w:val="0"/>
            <w:noProof/>
            <w:sz w:val="22"/>
            <w:szCs w:val="22"/>
            <w:lang w:eastAsia="en-GB" w:bidi="ar-SA"/>
          </w:rPr>
          <w:tab/>
        </w:r>
        <w:r w:rsidRPr="004517CD">
          <w:rPr>
            <w:rStyle w:val="Hyperlink"/>
            <w:rFonts w:ascii="Arial" w:hAnsi="Arial" w:cs="Arial"/>
            <w:noProof/>
          </w:rPr>
          <w:t>Subsection 18(1)</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_Toc427156670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9</w:t>
        </w:r>
        <w:r w:rsidRPr="004517CD">
          <w:rPr>
            <w:rFonts w:ascii="Arial" w:hAnsi="Arial" w:cs="Arial"/>
            <w:noProof/>
            <w:webHidden/>
          </w:rPr>
          <w:fldChar w:fldCharType="end"/>
        </w:r>
      </w:hyperlink>
    </w:p>
    <w:p w14:paraId="04537C58" w14:textId="77777777" w:rsidR="004517CD" w:rsidRPr="004517CD" w:rsidRDefault="004517C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7156671" w:history="1">
        <w:r w:rsidRPr="004517CD">
          <w:rPr>
            <w:rStyle w:val="Hyperlink"/>
            <w:rFonts w:ascii="Arial" w:hAnsi="Arial" w:cs="Arial"/>
            <w:noProof/>
          </w:rPr>
          <w:t>2.5.3</w:t>
        </w:r>
        <w:r w:rsidRPr="004517CD">
          <w:rPr>
            <w:rFonts w:ascii="Arial" w:eastAsiaTheme="minorEastAsia" w:hAnsi="Arial" w:cs="Arial"/>
            <w:i w:val="0"/>
            <w:iCs w:val="0"/>
            <w:noProof/>
            <w:sz w:val="22"/>
            <w:szCs w:val="22"/>
            <w:lang w:eastAsia="en-GB" w:bidi="ar-SA"/>
          </w:rPr>
          <w:tab/>
        </w:r>
        <w:r w:rsidRPr="004517CD">
          <w:rPr>
            <w:rStyle w:val="Hyperlink"/>
            <w:rFonts w:ascii="Arial" w:hAnsi="Arial" w:cs="Arial"/>
            <w:noProof/>
          </w:rPr>
          <w:t>Subsection 18(2) considerations</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_Toc427156671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10</w:t>
        </w:r>
        <w:r w:rsidRPr="004517CD">
          <w:rPr>
            <w:rFonts w:ascii="Arial" w:hAnsi="Arial" w:cs="Arial"/>
            <w:noProof/>
            <w:webHidden/>
          </w:rPr>
          <w:fldChar w:fldCharType="end"/>
        </w:r>
      </w:hyperlink>
    </w:p>
    <w:p w14:paraId="11D5E688" w14:textId="77777777" w:rsidR="004517CD" w:rsidRPr="004517CD" w:rsidRDefault="004517CD">
      <w:pPr>
        <w:pStyle w:val="TOC2"/>
        <w:tabs>
          <w:tab w:val="right" w:leader="dot" w:pos="9060"/>
        </w:tabs>
        <w:rPr>
          <w:rFonts w:ascii="Arial" w:eastAsiaTheme="minorEastAsia" w:hAnsi="Arial" w:cs="Arial"/>
          <w:smallCaps w:val="0"/>
          <w:noProof/>
          <w:sz w:val="22"/>
          <w:szCs w:val="22"/>
          <w:lang w:eastAsia="en-GB" w:bidi="ar-SA"/>
        </w:rPr>
      </w:pPr>
      <w:hyperlink w:anchor="_Toc427156672" w:history="1">
        <w:r w:rsidRPr="004517CD">
          <w:rPr>
            <w:rStyle w:val="Hyperlink"/>
            <w:rFonts w:ascii="Arial" w:hAnsi="Arial" w:cs="Arial"/>
            <w:noProof/>
          </w:rPr>
          <w:t xml:space="preserve">Attachment A – Approved draft variation to the </w:t>
        </w:r>
        <w:r w:rsidRPr="004517CD">
          <w:rPr>
            <w:rStyle w:val="Hyperlink"/>
            <w:rFonts w:ascii="Arial" w:hAnsi="Arial" w:cs="Arial"/>
            <w:i/>
            <w:noProof/>
          </w:rPr>
          <w:t>Australia New Zealand Food Standards Code</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_Toc427156672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12</w:t>
        </w:r>
        <w:r w:rsidRPr="004517CD">
          <w:rPr>
            <w:rFonts w:ascii="Arial" w:hAnsi="Arial" w:cs="Arial"/>
            <w:noProof/>
            <w:webHidden/>
          </w:rPr>
          <w:fldChar w:fldCharType="end"/>
        </w:r>
      </w:hyperlink>
    </w:p>
    <w:p w14:paraId="55F9A97A" w14:textId="77777777" w:rsidR="004517CD" w:rsidRPr="004517CD" w:rsidRDefault="004517CD">
      <w:pPr>
        <w:pStyle w:val="TOC2"/>
        <w:tabs>
          <w:tab w:val="right" w:leader="dot" w:pos="9060"/>
        </w:tabs>
        <w:rPr>
          <w:rFonts w:ascii="Arial" w:eastAsiaTheme="minorEastAsia" w:hAnsi="Arial" w:cs="Arial"/>
          <w:smallCaps w:val="0"/>
          <w:noProof/>
          <w:sz w:val="22"/>
          <w:szCs w:val="22"/>
          <w:lang w:eastAsia="en-GB" w:bidi="ar-SA"/>
        </w:rPr>
      </w:pPr>
      <w:hyperlink w:anchor="_Toc427156673" w:history="1">
        <w:r w:rsidRPr="004517CD">
          <w:rPr>
            <w:rStyle w:val="Hyperlink"/>
            <w:rFonts w:ascii="Arial" w:hAnsi="Arial" w:cs="Arial"/>
            <w:noProof/>
          </w:rPr>
          <w:t>Attachment B – Explanatory Statement</w:t>
        </w:r>
        <w:r w:rsidRPr="004517CD">
          <w:rPr>
            <w:rFonts w:ascii="Arial" w:hAnsi="Arial" w:cs="Arial"/>
            <w:noProof/>
            <w:webHidden/>
          </w:rPr>
          <w:tab/>
        </w:r>
        <w:r w:rsidRPr="004517CD">
          <w:rPr>
            <w:rFonts w:ascii="Arial" w:hAnsi="Arial" w:cs="Arial"/>
            <w:noProof/>
            <w:webHidden/>
          </w:rPr>
          <w:fldChar w:fldCharType="begin"/>
        </w:r>
        <w:r w:rsidRPr="004517CD">
          <w:rPr>
            <w:rFonts w:ascii="Arial" w:hAnsi="Arial" w:cs="Arial"/>
            <w:noProof/>
            <w:webHidden/>
          </w:rPr>
          <w:instrText xml:space="preserve"> PAGEREF _Toc427156673 \h </w:instrText>
        </w:r>
        <w:r w:rsidRPr="004517CD">
          <w:rPr>
            <w:rFonts w:ascii="Arial" w:hAnsi="Arial" w:cs="Arial"/>
            <w:noProof/>
            <w:webHidden/>
          </w:rPr>
        </w:r>
        <w:r w:rsidRPr="004517CD">
          <w:rPr>
            <w:rFonts w:ascii="Arial" w:hAnsi="Arial" w:cs="Arial"/>
            <w:noProof/>
            <w:webHidden/>
          </w:rPr>
          <w:fldChar w:fldCharType="separate"/>
        </w:r>
        <w:r w:rsidRPr="004517CD">
          <w:rPr>
            <w:rFonts w:ascii="Arial" w:hAnsi="Arial" w:cs="Arial"/>
            <w:noProof/>
            <w:webHidden/>
          </w:rPr>
          <w:t>14</w:t>
        </w:r>
        <w:r w:rsidRPr="004517CD">
          <w:rPr>
            <w:rFonts w:ascii="Arial" w:hAnsi="Arial" w:cs="Arial"/>
            <w:noProof/>
            <w:webHidden/>
          </w:rPr>
          <w:fldChar w:fldCharType="end"/>
        </w:r>
      </w:hyperlink>
    </w:p>
    <w:p w14:paraId="010D4976" w14:textId="77777777" w:rsidR="0012388D" w:rsidRDefault="00B55714" w:rsidP="00C91C02">
      <w:r w:rsidRPr="004517CD">
        <w:rPr>
          <w:rFonts w:cs="Arial"/>
          <w:sz w:val="20"/>
          <w:szCs w:val="20"/>
        </w:rPr>
        <w:fldChar w:fldCharType="end"/>
      </w:r>
    </w:p>
    <w:p w14:paraId="75C7F607" w14:textId="77777777" w:rsidR="007F7BF7" w:rsidRDefault="007F7BF7" w:rsidP="00CA5734"/>
    <w:p w14:paraId="1336534C"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26264714" w14:textId="77777777" w:rsidR="00A671E6" w:rsidRPr="0089264A" w:rsidRDefault="00A671E6" w:rsidP="00A671E6">
      <w:pPr>
        <w:rPr>
          <w:szCs w:val="22"/>
        </w:rPr>
      </w:pPr>
    </w:p>
    <w:p w14:paraId="3963C1C4" w14:textId="75C3E2CE" w:rsidR="00872007" w:rsidRPr="00872007" w:rsidRDefault="007A53BF" w:rsidP="007A53BF">
      <w:pPr>
        <w:rPr>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w:t>
      </w:r>
      <w:r w:rsidRPr="00872007">
        <w:rPr>
          <w:szCs w:val="22"/>
        </w:rPr>
        <w:t xml:space="preserve">assessment of this Proposal are </w:t>
      </w:r>
      <w:r w:rsidRPr="0089264A">
        <w:rPr>
          <w:szCs w:val="22"/>
        </w:rPr>
        <w:t>available on the FSANZ website at</w:t>
      </w:r>
      <w:r w:rsidRPr="00DC7557">
        <w:rPr>
          <w:szCs w:val="22"/>
        </w:rPr>
        <w:t xml:space="preserve"> </w:t>
      </w:r>
      <w:hyperlink r:id="rId18" w:history="1">
        <w:r w:rsidR="00872007" w:rsidRPr="00C1612A">
          <w:rPr>
            <w:rStyle w:val="Hyperlink"/>
            <w:szCs w:val="22"/>
          </w:rPr>
          <w:t>http://www.foodstandards.gov.au/code/proposals/Pages/M1012-MRLs.aspx</w:t>
        </w:r>
      </w:hyperlink>
    </w:p>
    <w:p w14:paraId="771D2D06" w14:textId="77777777" w:rsidR="007A53BF" w:rsidRPr="0089264A" w:rsidRDefault="007A53BF" w:rsidP="007A53BF">
      <w:pPr>
        <w:rPr>
          <w:szCs w:val="22"/>
        </w:rPr>
      </w:pPr>
    </w:p>
    <w:p w14:paraId="35553A5D" w14:textId="1D13E841" w:rsidR="007A53BF" w:rsidRPr="00872007" w:rsidRDefault="007A53BF" w:rsidP="007A53BF">
      <w:pPr>
        <w:ind w:left="1134" w:hanging="1134"/>
      </w:pPr>
      <w:r w:rsidRPr="00872007">
        <w:t>SD1</w:t>
      </w:r>
      <w:r w:rsidRPr="00872007">
        <w:tab/>
      </w:r>
      <w:r w:rsidR="00872007" w:rsidRPr="00872007">
        <w:t>MRLs for coumatetralyl and warfarin and dietary exposure estimates for the Australian population</w:t>
      </w:r>
      <w:r w:rsidR="00367FCB">
        <w:t xml:space="preserve"> (at Approval)</w:t>
      </w:r>
      <w:r w:rsidR="00872007" w:rsidRPr="00872007">
        <w:t>.</w:t>
      </w:r>
    </w:p>
    <w:p w14:paraId="21ACCCF1" w14:textId="77777777" w:rsidR="003C4969" w:rsidRPr="00872007" w:rsidRDefault="00D15A08" w:rsidP="009A2699">
      <w:pPr>
        <w:spacing w:line="280" w:lineRule="exact"/>
        <w:ind w:left="851" w:hanging="851"/>
        <w:outlineLvl w:val="3"/>
        <w:rPr>
          <w:vanish/>
        </w:rPr>
      </w:pPr>
      <w:r w:rsidRPr="00CA5734">
        <w:br w:type="page"/>
      </w:r>
    </w:p>
    <w:p w14:paraId="7D3EF424" w14:textId="77777777" w:rsidR="007A53BF" w:rsidRPr="007A53BF" w:rsidRDefault="007A53BF" w:rsidP="00CE59AA">
      <w:pPr>
        <w:pStyle w:val="Heading1"/>
      </w:pPr>
      <w:bookmarkStart w:id="1" w:name="_Toc286391001"/>
      <w:bookmarkStart w:id="2" w:name="_Toc300933414"/>
      <w:bookmarkStart w:id="3" w:name="_Toc370223463"/>
      <w:bookmarkStart w:id="4" w:name="_Toc11735627"/>
      <w:bookmarkStart w:id="5" w:name="_Toc29883110"/>
      <w:bookmarkStart w:id="6" w:name="_Toc41906797"/>
      <w:bookmarkStart w:id="7" w:name="_Toc41907544"/>
      <w:bookmarkStart w:id="8" w:name="_Toc120358575"/>
      <w:bookmarkStart w:id="9" w:name="_Toc427156653"/>
      <w:r w:rsidRPr="007A53BF">
        <w:lastRenderedPageBreak/>
        <w:t>Executive summary</w:t>
      </w:r>
      <w:bookmarkEnd w:id="1"/>
      <w:bookmarkEnd w:id="2"/>
      <w:bookmarkEnd w:id="3"/>
      <w:bookmarkEnd w:id="9"/>
    </w:p>
    <w:p w14:paraId="3A7A88B1" w14:textId="00590081" w:rsidR="006E278E" w:rsidRDefault="006E278E" w:rsidP="004F048E">
      <w:pPr>
        <w:widowControl/>
        <w:autoSpaceDE w:val="0"/>
        <w:autoSpaceDN w:val="0"/>
        <w:adjustRightInd w:val="0"/>
        <w:rPr>
          <w:lang w:eastAsia="en-GB"/>
        </w:rPr>
      </w:pPr>
      <w:r>
        <w:rPr>
          <w:lang w:bidi="ar-SA"/>
        </w:rPr>
        <w:t xml:space="preserve">FSANZ has approved a draft variation to Standard 1.4.2 to set </w:t>
      </w:r>
      <w:r w:rsidR="004F048E" w:rsidRPr="006C17B7">
        <w:rPr>
          <w:rFonts w:cs="Arial"/>
          <w:szCs w:val="22"/>
          <w:lang w:eastAsia="en-GB" w:bidi="ar-SA"/>
        </w:rPr>
        <w:t xml:space="preserve">temporary maximum residue limits (MRLs) </w:t>
      </w:r>
      <w:r>
        <w:rPr>
          <w:rFonts w:cs="Arial"/>
          <w:szCs w:val="22"/>
          <w:lang w:eastAsia="en-GB" w:bidi="ar-SA"/>
        </w:rPr>
        <w:t xml:space="preserve">in food </w:t>
      </w:r>
      <w:r w:rsidR="004F048E" w:rsidRPr="006C17B7">
        <w:rPr>
          <w:rFonts w:cs="Arial"/>
          <w:szCs w:val="22"/>
          <w:lang w:eastAsia="en-GB" w:bidi="ar-SA"/>
        </w:rPr>
        <w:t xml:space="preserve">for </w:t>
      </w:r>
      <w:r>
        <w:rPr>
          <w:rFonts w:cs="Arial"/>
          <w:szCs w:val="22"/>
          <w:lang w:eastAsia="en-GB" w:bidi="ar-SA"/>
        </w:rPr>
        <w:t>two</w:t>
      </w:r>
      <w:r w:rsidRPr="006C17B7">
        <w:rPr>
          <w:rFonts w:cs="Arial"/>
          <w:szCs w:val="22"/>
          <w:lang w:eastAsia="en-GB" w:bidi="ar-SA"/>
        </w:rPr>
        <w:t xml:space="preserve"> </w:t>
      </w:r>
      <w:r w:rsidR="004F048E" w:rsidRPr="006C17B7">
        <w:rPr>
          <w:rFonts w:cs="Arial"/>
          <w:szCs w:val="22"/>
          <w:lang w:eastAsia="en-GB" w:bidi="ar-SA"/>
        </w:rPr>
        <w:t xml:space="preserve">agricultural and veterinary (agvet) </w:t>
      </w:r>
      <w:r w:rsidR="004F048E" w:rsidRPr="00CA1DF1">
        <w:rPr>
          <w:lang w:eastAsia="en-GB"/>
        </w:rPr>
        <w:t xml:space="preserve">chemicals </w:t>
      </w:r>
      <w:r>
        <w:rPr>
          <w:lang w:eastAsia="en-GB"/>
        </w:rPr>
        <w:t xml:space="preserve">- </w:t>
      </w:r>
      <w:r w:rsidR="004F048E">
        <w:rPr>
          <w:lang w:eastAsia="en-GB"/>
        </w:rPr>
        <w:t>coumatetralyl and warfarin</w:t>
      </w:r>
      <w:r w:rsidR="0046748D">
        <w:rPr>
          <w:lang w:eastAsia="en-GB"/>
        </w:rPr>
        <w:t xml:space="preserve"> </w:t>
      </w:r>
      <w:r w:rsidR="0046748D">
        <w:t>in pork commodities</w:t>
      </w:r>
      <w:r w:rsidR="004F048E">
        <w:rPr>
          <w:lang w:eastAsia="en-GB"/>
        </w:rPr>
        <w:t xml:space="preserve">. </w:t>
      </w:r>
    </w:p>
    <w:p w14:paraId="29E39740" w14:textId="77777777" w:rsidR="006E278E" w:rsidRDefault="006E278E" w:rsidP="004F048E">
      <w:pPr>
        <w:widowControl/>
        <w:autoSpaceDE w:val="0"/>
        <w:autoSpaceDN w:val="0"/>
        <w:adjustRightInd w:val="0"/>
        <w:rPr>
          <w:lang w:eastAsia="en-GB"/>
        </w:rPr>
      </w:pPr>
    </w:p>
    <w:p w14:paraId="72355CB8" w14:textId="6E4227D5" w:rsidR="006E278E" w:rsidRDefault="004F048E" w:rsidP="004F048E">
      <w:pPr>
        <w:widowControl/>
        <w:autoSpaceDE w:val="0"/>
        <w:autoSpaceDN w:val="0"/>
        <w:adjustRightInd w:val="0"/>
        <w:rPr>
          <w:lang w:eastAsia="en-GB"/>
        </w:rPr>
      </w:pPr>
      <w:r>
        <w:rPr>
          <w:lang w:eastAsia="en-GB"/>
        </w:rPr>
        <w:t xml:space="preserve">The </w:t>
      </w:r>
      <w:r w:rsidR="006E278E">
        <w:rPr>
          <w:lang w:eastAsia="en-GB"/>
        </w:rPr>
        <w:t xml:space="preserve">approved draft variation aligns Standard 1.4.2 </w:t>
      </w:r>
      <w:r>
        <w:t>with the temporary MRLs</w:t>
      </w:r>
      <w:r w:rsidR="006E278E">
        <w:t xml:space="preserve"> set</w:t>
      </w:r>
      <w:r>
        <w:t xml:space="preserve"> </w:t>
      </w:r>
      <w:r w:rsidR="006E278E">
        <w:t xml:space="preserve">for these chemicals </w:t>
      </w:r>
      <w:r>
        <w:t xml:space="preserve">by the </w:t>
      </w:r>
      <w:r w:rsidR="006E278E" w:rsidRPr="00CA1DF1">
        <w:rPr>
          <w:lang w:eastAsia="en-GB"/>
        </w:rPr>
        <w:t>Australian Pesticides and Veterinary Medicines Authority (APVMA)</w:t>
      </w:r>
      <w:r w:rsidR="006E278E">
        <w:t xml:space="preserve"> in the </w:t>
      </w:r>
      <w:r w:rsidR="006E278E">
        <w:rPr>
          <w:lang w:eastAsia="en-GB"/>
        </w:rPr>
        <w:t>APVMA’s Agricultural and Veterinary Chemicals Code Instrument No.4 (MRL Standard).</w:t>
      </w:r>
      <w:r w:rsidR="006E278E" w:rsidRPr="00CA1DF1">
        <w:rPr>
          <w:lang w:eastAsia="en-GB"/>
        </w:rPr>
        <w:t xml:space="preserve"> </w:t>
      </w:r>
    </w:p>
    <w:p w14:paraId="582094B9" w14:textId="77777777" w:rsidR="004F048E" w:rsidRPr="006C17B7" w:rsidRDefault="004F048E" w:rsidP="004F048E">
      <w:pPr>
        <w:widowControl/>
        <w:autoSpaceDE w:val="0"/>
        <w:autoSpaceDN w:val="0"/>
        <w:adjustRightInd w:val="0"/>
        <w:rPr>
          <w:rFonts w:cs="Arial"/>
          <w:szCs w:val="22"/>
          <w:lang w:eastAsia="en-GB" w:bidi="ar-SA"/>
        </w:rPr>
      </w:pPr>
    </w:p>
    <w:p w14:paraId="74F66B6C" w14:textId="52A7314F" w:rsidR="004F048E" w:rsidRPr="00CA1DF1" w:rsidRDefault="004F048E" w:rsidP="004F048E">
      <w:pPr>
        <w:widowControl/>
        <w:autoSpaceDE w:val="0"/>
        <w:autoSpaceDN w:val="0"/>
        <w:adjustRightInd w:val="0"/>
        <w:rPr>
          <w:lang w:eastAsia="en-GB"/>
        </w:rPr>
      </w:pPr>
      <w:r w:rsidRPr="006C17B7">
        <w:rPr>
          <w:rFonts w:cs="Arial"/>
          <w:szCs w:val="22"/>
          <w:lang w:eastAsia="en-GB" w:bidi="ar-SA"/>
        </w:rPr>
        <w:t>Standard 1.4.2 lists the MRLs for ag</w:t>
      </w:r>
      <w:r w:rsidRPr="00CA1DF1">
        <w:rPr>
          <w:lang w:eastAsia="en-GB"/>
        </w:rPr>
        <w:t xml:space="preserve">vet chemical residues. </w:t>
      </w:r>
      <w:r>
        <w:rPr>
          <w:lang w:eastAsia="en-GB"/>
        </w:rPr>
        <w:t xml:space="preserve">Maximum </w:t>
      </w:r>
      <w:r>
        <w:t>l</w:t>
      </w:r>
      <w:r w:rsidRPr="00CA1DF1">
        <w:t xml:space="preserve">imits prescribed in the Code </w:t>
      </w:r>
      <w:r>
        <w:t>are a</w:t>
      </w:r>
      <w:r w:rsidRPr="00CA1DF1">
        <w:t xml:space="preserve"> mandatory requirement applying to all food products of a particular class whether produced domestically or imported.</w:t>
      </w:r>
    </w:p>
    <w:p w14:paraId="62F785FC" w14:textId="77777777" w:rsidR="004F048E" w:rsidRPr="00CA1DF1" w:rsidRDefault="004F048E" w:rsidP="004F048E">
      <w:pPr>
        <w:widowControl/>
        <w:autoSpaceDE w:val="0"/>
        <w:autoSpaceDN w:val="0"/>
        <w:adjustRightInd w:val="0"/>
        <w:rPr>
          <w:rFonts w:cs="Arial"/>
          <w:szCs w:val="22"/>
          <w:lang w:eastAsia="en-GB" w:bidi="ar-SA"/>
        </w:rPr>
      </w:pPr>
    </w:p>
    <w:p w14:paraId="4CDC07DC" w14:textId="51C21CAF" w:rsidR="004F048E" w:rsidRPr="00CA1DF1" w:rsidRDefault="004F048E" w:rsidP="004F048E">
      <w:pPr>
        <w:widowControl/>
        <w:autoSpaceDE w:val="0"/>
        <w:autoSpaceDN w:val="0"/>
        <w:adjustRightInd w:val="0"/>
        <w:rPr>
          <w:rFonts w:cs="Arial"/>
          <w:szCs w:val="22"/>
          <w:lang w:eastAsia="en-GB" w:bidi="ar-SA"/>
        </w:rPr>
      </w:pPr>
      <w:r w:rsidRPr="00CA1DF1">
        <w:rPr>
          <w:rFonts w:cs="Arial"/>
          <w:szCs w:val="22"/>
          <w:lang w:eastAsia="en-GB" w:bidi="ar-SA"/>
        </w:rPr>
        <w:t xml:space="preserve">Dietary exposure assessments (DEAs) </w:t>
      </w:r>
      <w:r w:rsidR="006E278E">
        <w:rPr>
          <w:rFonts w:cs="Arial"/>
          <w:szCs w:val="22"/>
          <w:lang w:eastAsia="en-GB" w:bidi="ar-SA"/>
        </w:rPr>
        <w:t>confirmed</w:t>
      </w:r>
      <w:r w:rsidR="006E278E" w:rsidRPr="00CA1DF1">
        <w:rPr>
          <w:rFonts w:cs="Arial"/>
          <w:szCs w:val="22"/>
          <w:lang w:eastAsia="en-GB" w:bidi="ar-SA"/>
        </w:rPr>
        <w:t xml:space="preserve"> </w:t>
      </w:r>
      <w:r w:rsidRPr="00CA1DF1">
        <w:rPr>
          <w:rFonts w:cs="Arial"/>
          <w:szCs w:val="22"/>
          <w:lang w:eastAsia="en-GB" w:bidi="ar-SA"/>
        </w:rPr>
        <w:t>that the limits</w:t>
      </w:r>
      <w:r w:rsidR="006E278E">
        <w:rPr>
          <w:rFonts w:cs="Arial"/>
          <w:szCs w:val="22"/>
          <w:lang w:eastAsia="en-GB" w:bidi="ar-SA"/>
        </w:rPr>
        <w:t xml:space="preserve"> set by the approved draft variation to Standard 1.4.2</w:t>
      </w:r>
      <w:r w:rsidRPr="00CA1DF1">
        <w:rPr>
          <w:rFonts w:cs="Arial"/>
          <w:szCs w:val="22"/>
          <w:lang w:eastAsia="en-GB" w:bidi="ar-SA"/>
        </w:rPr>
        <w:t xml:space="preserve"> for </w:t>
      </w:r>
      <w:r w:rsidR="00EA2185">
        <w:rPr>
          <w:rFonts w:cs="Arial"/>
          <w:szCs w:val="22"/>
          <w:lang w:eastAsia="en-GB" w:bidi="ar-SA"/>
        </w:rPr>
        <w:t xml:space="preserve">coumatetralyl and warfarin </w:t>
      </w:r>
      <w:r w:rsidR="006E278E">
        <w:rPr>
          <w:rFonts w:cs="Arial"/>
          <w:szCs w:val="22"/>
          <w:lang w:eastAsia="en-GB" w:bidi="ar-SA"/>
        </w:rPr>
        <w:t>do</w:t>
      </w:r>
      <w:r w:rsidR="006E278E" w:rsidRPr="00CA1DF1">
        <w:rPr>
          <w:rFonts w:cs="Arial"/>
          <w:szCs w:val="22"/>
          <w:lang w:eastAsia="en-GB" w:bidi="ar-SA"/>
        </w:rPr>
        <w:t xml:space="preserve"> </w:t>
      </w:r>
      <w:r w:rsidRPr="00CA1DF1">
        <w:rPr>
          <w:rFonts w:cs="Arial"/>
          <w:szCs w:val="22"/>
          <w:lang w:eastAsia="en-GB" w:bidi="ar-SA"/>
        </w:rPr>
        <w:t>not present any public health and safety concerns in relation to relevant health-based guidance values</w:t>
      </w:r>
      <w:r>
        <w:rPr>
          <w:rFonts w:cs="Arial"/>
          <w:szCs w:val="22"/>
          <w:lang w:eastAsia="en-GB" w:bidi="ar-SA"/>
        </w:rPr>
        <w:t xml:space="preserve"> (HBGVs)</w:t>
      </w:r>
      <w:r w:rsidRPr="00CA1DF1">
        <w:rPr>
          <w:rFonts w:cs="Arial"/>
          <w:szCs w:val="22"/>
          <w:lang w:eastAsia="en-GB" w:bidi="ar-SA"/>
        </w:rPr>
        <w:t xml:space="preserve">. </w:t>
      </w:r>
    </w:p>
    <w:p w14:paraId="302671AB" w14:textId="77777777" w:rsidR="004F048E" w:rsidRPr="00CA1DF1" w:rsidRDefault="004F048E" w:rsidP="004F048E">
      <w:pPr>
        <w:widowControl/>
        <w:autoSpaceDE w:val="0"/>
        <w:autoSpaceDN w:val="0"/>
        <w:adjustRightInd w:val="0"/>
        <w:rPr>
          <w:rFonts w:cs="Arial"/>
          <w:szCs w:val="22"/>
          <w:lang w:eastAsia="en-GB" w:bidi="ar-SA"/>
        </w:rPr>
      </w:pPr>
    </w:p>
    <w:p w14:paraId="4DE3726E" w14:textId="30249857" w:rsidR="004F048E" w:rsidRPr="00CA1DF1" w:rsidRDefault="004F048E" w:rsidP="004F048E">
      <w:pPr>
        <w:widowControl/>
        <w:autoSpaceDE w:val="0"/>
        <w:autoSpaceDN w:val="0"/>
        <w:adjustRightInd w:val="0"/>
        <w:rPr>
          <w:rFonts w:cs="Arial"/>
          <w:szCs w:val="22"/>
          <w:lang w:eastAsia="en-GB" w:bidi="ar-SA"/>
        </w:rPr>
      </w:pPr>
      <w:r w:rsidRPr="00CA1DF1">
        <w:rPr>
          <w:rFonts w:cs="Arial"/>
          <w:szCs w:val="22"/>
          <w:lang w:eastAsia="en-GB" w:bidi="ar-SA"/>
        </w:rPr>
        <w:t>Including the MRLs in the Code will permit the sale of foods containing legitimate residues</w:t>
      </w:r>
      <w:r>
        <w:rPr>
          <w:rFonts w:cs="Arial"/>
          <w:szCs w:val="22"/>
          <w:lang w:eastAsia="en-GB" w:bidi="ar-SA"/>
        </w:rPr>
        <w:t xml:space="preserve">, </w:t>
      </w:r>
      <w:r w:rsidRPr="004A45DF">
        <w:rPr>
          <w:rFonts w:cs="Arial"/>
          <w:szCs w:val="22"/>
          <w:lang w:eastAsia="en-GB" w:bidi="ar-SA"/>
        </w:rPr>
        <w:t xml:space="preserve">protect public health and safety </w:t>
      </w:r>
      <w:r w:rsidRPr="00CA1DF1">
        <w:rPr>
          <w:rFonts w:cs="Arial"/>
          <w:szCs w:val="22"/>
          <w:lang w:eastAsia="en-GB" w:bidi="ar-SA"/>
        </w:rPr>
        <w:t>and minimise residues in foods consistent with the effective control of pests and diseases.</w:t>
      </w:r>
    </w:p>
    <w:p w14:paraId="29A9C07A" w14:textId="77777777" w:rsidR="004F048E" w:rsidRPr="00CA1DF1" w:rsidRDefault="004F048E" w:rsidP="004F048E">
      <w:pPr>
        <w:widowControl/>
        <w:autoSpaceDE w:val="0"/>
        <w:autoSpaceDN w:val="0"/>
        <w:adjustRightInd w:val="0"/>
        <w:rPr>
          <w:rFonts w:cs="Arial"/>
          <w:szCs w:val="22"/>
          <w:lang w:eastAsia="en-GB" w:bidi="ar-SA"/>
        </w:rPr>
      </w:pPr>
    </w:p>
    <w:p w14:paraId="7049CBFA" w14:textId="77777777" w:rsidR="004F048E" w:rsidRPr="00CA1DF1" w:rsidRDefault="004F048E" w:rsidP="004F048E">
      <w:pPr>
        <w:widowControl/>
        <w:autoSpaceDE w:val="0"/>
        <w:autoSpaceDN w:val="0"/>
        <w:adjustRightInd w:val="0"/>
        <w:rPr>
          <w:rFonts w:cs="Arial"/>
          <w:i/>
          <w:iCs/>
          <w:szCs w:val="22"/>
          <w:lang w:eastAsia="en-GB" w:bidi="ar-SA"/>
        </w:rPr>
      </w:pPr>
      <w:r w:rsidRPr="00CA1DF1">
        <w:rPr>
          <w:rFonts w:cs="Arial"/>
          <w:szCs w:val="22"/>
          <w:lang w:eastAsia="en-GB" w:bidi="ar-SA"/>
        </w:rPr>
        <w:t xml:space="preserve">The </w:t>
      </w:r>
      <w:r w:rsidRPr="00CA1DF1">
        <w:rPr>
          <w:rFonts w:cs="Arial"/>
          <w:i/>
          <w:iCs/>
          <w:szCs w:val="22"/>
          <w:lang w:eastAsia="en-GB" w:bidi="ar-SA"/>
        </w:rPr>
        <w:t xml:space="preserve">Agreement between the Government of Australia and the Government of New Zealand concerning a Joint Food Standards System </w:t>
      </w:r>
      <w:r w:rsidRPr="00CA1DF1">
        <w:rPr>
          <w:rFonts w:cs="Arial"/>
          <w:szCs w:val="22"/>
          <w:lang w:eastAsia="en-GB" w:bidi="ar-SA"/>
        </w:rPr>
        <w:t>(the Treaty) excludes MRLs for ag</w:t>
      </w:r>
      <w:r>
        <w:rPr>
          <w:rFonts w:cs="Arial"/>
          <w:szCs w:val="22"/>
          <w:lang w:eastAsia="en-GB" w:bidi="ar-SA"/>
        </w:rPr>
        <w:t xml:space="preserve">vet </w:t>
      </w:r>
      <w:r w:rsidRPr="00CA1DF1">
        <w:rPr>
          <w:rFonts w:cs="Arial"/>
          <w:szCs w:val="22"/>
          <w:lang w:eastAsia="en-GB" w:bidi="ar-SA"/>
        </w:rPr>
        <w:t>chemicals in food from the system setting joint food standards.</w:t>
      </w:r>
    </w:p>
    <w:p w14:paraId="5A2336D8" w14:textId="77777777" w:rsidR="004F048E" w:rsidRPr="00CA1DF1" w:rsidRDefault="004F048E" w:rsidP="004F048E">
      <w:pPr>
        <w:widowControl/>
        <w:autoSpaceDE w:val="0"/>
        <w:autoSpaceDN w:val="0"/>
        <w:adjustRightInd w:val="0"/>
        <w:rPr>
          <w:rFonts w:cs="Arial"/>
          <w:szCs w:val="22"/>
          <w:lang w:eastAsia="en-GB" w:bidi="ar-SA"/>
        </w:rPr>
      </w:pPr>
    </w:p>
    <w:p w14:paraId="13FBF46F" w14:textId="1E59169A" w:rsidR="004F048E" w:rsidRDefault="004F048E" w:rsidP="004F048E">
      <w:pPr>
        <w:rPr>
          <w:rFonts w:cs="Arial"/>
          <w:szCs w:val="22"/>
          <w:lang w:eastAsia="en-GB" w:bidi="ar-SA"/>
        </w:rPr>
      </w:pPr>
      <w:r w:rsidRPr="00CA1DF1">
        <w:rPr>
          <w:rFonts w:cs="Arial"/>
          <w:szCs w:val="22"/>
          <w:lang w:eastAsia="en-GB" w:bidi="ar-SA"/>
        </w:rPr>
        <w:t xml:space="preserve">FSANZ made </w:t>
      </w:r>
      <w:r w:rsidR="00EA2185">
        <w:rPr>
          <w:rFonts w:cs="Arial"/>
          <w:szCs w:val="22"/>
          <w:lang w:eastAsia="en-GB" w:bidi="ar-SA"/>
        </w:rPr>
        <w:t xml:space="preserve">a </w:t>
      </w:r>
      <w:r w:rsidR="000C06CC">
        <w:rPr>
          <w:rFonts w:cs="Arial"/>
          <w:szCs w:val="22"/>
          <w:lang w:eastAsia="en-GB" w:bidi="ar-SA"/>
        </w:rPr>
        <w:t>notification under the</w:t>
      </w:r>
      <w:r w:rsidR="003805F7">
        <w:rPr>
          <w:rFonts w:cs="Arial"/>
          <w:szCs w:val="22"/>
          <w:lang w:eastAsia="en-GB" w:bidi="ar-SA"/>
        </w:rPr>
        <w:t xml:space="preserve"> </w:t>
      </w:r>
      <w:r w:rsidR="003805F7" w:rsidRPr="00CA1DF1">
        <w:rPr>
          <w:rFonts w:cs="Arial"/>
          <w:szCs w:val="22"/>
          <w:lang w:eastAsia="en-GB" w:bidi="ar-SA"/>
        </w:rPr>
        <w:t>World Trade Organization</w:t>
      </w:r>
      <w:r w:rsidR="000C06CC">
        <w:rPr>
          <w:rFonts w:cs="Arial"/>
          <w:szCs w:val="22"/>
          <w:lang w:eastAsia="en-GB" w:bidi="ar-SA"/>
        </w:rPr>
        <w:t xml:space="preserve"> </w:t>
      </w:r>
      <w:r w:rsidR="00D91A45">
        <w:rPr>
          <w:rFonts w:cs="Arial"/>
          <w:szCs w:val="22"/>
          <w:lang w:eastAsia="en-GB" w:bidi="ar-SA"/>
        </w:rPr>
        <w:t xml:space="preserve">(WTO) </w:t>
      </w:r>
      <w:r w:rsidR="003805F7">
        <w:rPr>
          <w:rFonts w:cs="Arial"/>
          <w:szCs w:val="22"/>
          <w:lang w:eastAsia="en-GB" w:bidi="ar-SA"/>
        </w:rPr>
        <w:t>S</w:t>
      </w:r>
      <w:r>
        <w:rPr>
          <w:rFonts w:cs="Arial"/>
          <w:szCs w:val="22"/>
          <w:lang w:eastAsia="en-GB" w:bidi="ar-SA"/>
        </w:rPr>
        <w:t>a</w:t>
      </w:r>
      <w:r w:rsidRPr="00CA1DF1">
        <w:rPr>
          <w:rFonts w:cs="Arial"/>
          <w:szCs w:val="22"/>
          <w:lang w:eastAsia="en-GB" w:bidi="ar-SA"/>
        </w:rPr>
        <w:t xml:space="preserve">nitary and </w:t>
      </w:r>
      <w:r w:rsidR="003805F7">
        <w:rPr>
          <w:rFonts w:cs="Arial"/>
          <w:szCs w:val="22"/>
          <w:lang w:eastAsia="en-GB" w:bidi="ar-SA"/>
        </w:rPr>
        <w:t>P</w:t>
      </w:r>
      <w:r w:rsidRPr="00CA1DF1">
        <w:rPr>
          <w:rFonts w:cs="Arial"/>
          <w:szCs w:val="22"/>
          <w:lang w:eastAsia="en-GB" w:bidi="ar-SA"/>
        </w:rPr>
        <w:t xml:space="preserve">hytosanitary </w:t>
      </w:r>
      <w:r w:rsidR="000C06CC">
        <w:rPr>
          <w:rFonts w:cs="Arial"/>
          <w:szCs w:val="22"/>
          <w:lang w:eastAsia="en-GB" w:bidi="ar-SA"/>
        </w:rPr>
        <w:t>Agreement</w:t>
      </w:r>
      <w:r w:rsidRPr="00CA1DF1">
        <w:rPr>
          <w:rFonts w:cs="Arial"/>
          <w:szCs w:val="22"/>
          <w:lang w:eastAsia="en-GB" w:bidi="ar-SA"/>
        </w:rPr>
        <w:t>.</w:t>
      </w:r>
    </w:p>
    <w:p w14:paraId="4E144DAB" w14:textId="20A07B09" w:rsidR="006E278E" w:rsidRDefault="006E278E" w:rsidP="004F048E">
      <w:pPr>
        <w:rPr>
          <w:lang w:bidi="ar-SA"/>
        </w:rPr>
      </w:pPr>
    </w:p>
    <w:p w14:paraId="1EEA6139" w14:textId="73370519" w:rsidR="006E278E" w:rsidRPr="00196688" w:rsidRDefault="006E278E" w:rsidP="006E278E">
      <w:pPr>
        <w:rPr>
          <w:lang w:bidi="ar-SA"/>
        </w:rPr>
      </w:pPr>
      <w:r>
        <w:t>A revision of the Code via Proposal P1025</w:t>
      </w:r>
      <w:r w:rsidRPr="00A224C4">
        <w:rPr>
          <w:lang w:bidi="ar-SA"/>
        </w:rPr>
        <w:t xml:space="preserve"> –</w:t>
      </w:r>
      <w:r>
        <w:rPr>
          <w:lang w:bidi="ar-SA"/>
        </w:rPr>
        <w:t xml:space="preserve"> Code Revision</w:t>
      </w:r>
      <w:r>
        <w:t>, will replace the existing Code on 1 March 2016.</w:t>
      </w:r>
      <w:r w:rsidR="00BE1762">
        <w:t xml:space="preserve"> Proposal M1013 will amend the revised Code to ensure it contains the same MRLs that the approved draft variation inserts into the existing Code</w:t>
      </w:r>
      <w:r>
        <w:rPr>
          <w:lang w:eastAsia="en-GB"/>
        </w:rPr>
        <w:t>.</w:t>
      </w:r>
    </w:p>
    <w:p w14:paraId="08951E10" w14:textId="77777777" w:rsidR="00C836FF" w:rsidRDefault="00C836FF" w:rsidP="002421C1">
      <w:pPr>
        <w:pStyle w:val="Heading1"/>
      </w:pPr>
      <w:r>
        <w:br w:type="page"/>
      </w:r>
    </w:p>
    <w:p w14:paraId="5BAEF7F2" w14:textId="77777777" w:rsidR="007A53BF" w:rsidRPr="007A53BF" w:rsidRDefault="007A53BF" w:rsidP="00CE59AA">
      <w:pPr>
        <w:pStyle w:val="Heading1"/>
      </w:pPr>
      <w:bookmarkStart w:id="10" w:name="_Toc300933417"/>
      <w:bookmarkStart w:id="11" w:name="_Toc370223464"/>
      <w:bookmarkStart w:id="12" w:name="_Toc427156654"/>
      <w:r w:rsidRPr="007A53BF">
        <w:lastRenderedPageBreak/>
        <w:t>1</w:t>
      </w:r>
      <w:r w:rsidRPr="007A53BF">
        <w:tab/>
        <w:t>Introduction</w:t>
      </w:r>
      <w:bookmarkEnd w:id="10"/>
      <w:bookmarkEnd w:id="11"/>
      <w:bookmarkEnd w:id="12"/>
    </w:p>
    <w:p w14:paraId="76D1542C" w14:textId="1F1F836F" w:rsidR="007A53BF" w:rsidRPr="007A53BF" w:rsidRDefault="007A53BF" w:rsidP="00CE59AA">
      <w:pPr>
        <w:pStyle w:val="Heading2"/>
      </w:pPr>
      <w:bookmarkStart w:id="13" w:name="_Toc300761891"/>
      <w:bookmarkStart w:id="14" w:name="_Toc300933420"/>
      <w:bookmarkStart w:id="15" w:name="_Toc370223466"/>
      <w:bookmarkStart w:id="16" w:name="_Toc427156655"/>
      <w:r w:rsidRPr="007A53BF">
        <w:t>1.</w:t>
      </w:r>
      <w:r w:rsidR="00872007">
        <w:t>1</w:t>
      </w:r>
      <w:r w:rsidRPr="007A53BF">
        <w:tab/>
      </w:r>
      <w:r w:rsidRPr="00131DAD">
        <w:t xml:space="preserve">The </w:t>
      </w:r>
      <w:bookmarkEnd w:id="13"/>
      <w:r w:rsidRPr="00131DAD">
        <w:t>Proposal</w:t>
      </w:r>
      <w:bookmarkEnd w:id="14"/>
      <w:bookmarkEnd w:id="15"/>
      <w:bookmarkEnd w:id="16"/>
    </w:p>
    <w:p w14:paraId="5C4017DF" w14:textId="49BC750A" w:rsidR="00131DAD" w:rsidRDefault="00131DAD" w:rsidP="00131DAD">
      <w:bookmarkStart w:id="17" w:name="_Toc300761892"/>
      <w:bookmarkStart w:id="18" w:name="_Toc300933421"/>
      <w:bookmarkStart w:id="19" w:name="_Toc370223467"/>
      <w:r w:rsidRPr="00CA1DF1">
        <w:t xml:space="preserve">The Proposal was prepared to consider </w:t>
      </w:r>
      <w:r>
        <w:t xml:space="preserve">introducing temporary </w:t>
      </w:r>
      <w:r w:rsidRPr="00CA1DF1">
        <w:t xml:space="preserve">MRLs </w:t>
      </w:r>
      <w:r w:rsidR="00EA2185">
        <w:t xml:space="preserve">in Standard 1.4.2 </w:t>
      </w:r>
      <w:r>
        <w:t xml:space="preserve">for residues of </w:t>
      </w:r>
      <w:r w:rsidR="00EA2185">
        <w:t xml:space="preserve">coumatetralyl and warfarin </w:t>
      </w:r>
      <w:r>
        <w:t xml:space="preserve">that may occur in </w:t>
      </w:r>
      <w:r w:rsidR="00EA2185">
        <w:t>certain pork commodities</w:t>
      </w:r>
      <w:r>
        <w:t xml:space="preserve"> in order to align with the APVMA temporary MRLs for coumatetralyl and warfarin in pork commodities</w:t>
      </w:r>
      <w:r w:rsidR="00EA2185">
        <w:t xml:space="preserve"> in the </w:t>
      </w:r>
      <w:r w:rsidR="00EA2185" w:rsidRPr="00B913A5">
        <w:t>Agricultural and Veterinary Chemicals Code Instrument No.4 (MRL Standard</w:t>
      </w:r>
      <w:r w:rsidR="00EA2185">
        <w:rPr>
          <w:rStyle w:val="FootnoteReference"/>
        </w:rPr>
        <w:footnoteReference w:id="2"/>
      </w:r>
      <w:r w:rsidR="00EA2185" w:rsidRPr="00B913A5">
        <w:t>)</w:t>
      </w:r>
      <w:r>
        <w:t xml:space="preserve">. </w:t>
      </w:r>
    </w:p>
    <w:p w14:paraId="5147E03A" w14:textId="77777777" w:rsidR="00EA2185" w:rsidRDefault="00EA2185" w:rsidP="00131DAD"/>
    <w:p w14:paraId="128BC9C1" w14:textId="77777777" w:rsidR="00EA2185" w:rsidRPr="005E02CB" w:rsidRDefault="00EA2185" w:rsidP="00EA2185">
      <w:r w:rsidRPr="002B698B">
        <w:rPr>
          <w:szCs w:val="22"/>
        </w:rPr>
        <w:t>The variations to the Code w</w:t>
      </w:r>
      <w:r>
        <w:rPr>
          <w:szCs w:val="22"/>
        </w:rPr>
        <w:t xml:space="preserve">ill </w:t>
      </w:r>
      <w:r w:rsidRPr="002B698B">
        <w:rPr>
          <w:szCs w:val="22"/>
        </w:rPr>
        <w:t xml:space="preserve">permit the sale in Australia of relevant foods containing legitimate residues </w:t>
      </w:r>
      <w:r>
        <w:rPr>
          <w:szCs w:val="22"/>
        </w:rPr>
        <w:t xml:space="preserve">of </w:t>
      </w:r>
      <w:r w:rsidRPr="007C0DDD">
        <w:rPr>
          <w:szCs w:val="22"/>
        </w:rPr>
        <w:t xml:space="preserve">coumatetralyl or warfarin </w:t>
      </w:r>
      <w:r w:rsidRPr="002B698B">
        <w:rPr>
          <w:szCs w:val="22"/>
        </w:rPr>
        <w:t>that do not present health or safety concerns.</w:t>
      </w:r>
      <w:r w:rsidRPr="002B698B">
        <w:t xml:space="preserve"> </w:t>
      </w:r>
    </w:p>
    <w:p w14:paraId="58FF07C1" w14:textId="76531CDB" w:rsidR="007A53BF" w:rsidRPr="007A53BF" w:rsidRDefault="007A53BF" w:rsidP="00CE59AA">
      <w:pPr>
        <w:pStyle w:val="Heading2"/>
      </w:pPr>
      <w:bookmarkStart w:id="20" w:name="_Toc427156656"/>
      <w:r w:rsidRPr="007A53BF">
        <w:t>1.</w:t>
      </w:r>
      <w:r w:rsidR="00872007">
        <w:t>2</w:t>
      </w:r>
      <w:r w:rsidRPr="007A53BF">
        <w:tab/>
        <w:t>The current Standard</w:t>
      </w:r>
      <w:bookmarkEnd w:id="17"/>
      <w:bookmarkEnd w:id="18"/>
      <w:bookmarkEnd w:id="19"/>
      <w:bookmarkEnd w:id="20"/>
    </w:p>
    <w:p w14:paraId="37C85736" w14:textId="788882CD" w:rsidR="00131DAD" w:rsidRDefault="00131DAD" w:rsidP="00131DAD">
      <w:pPr>
        <w:widowControl/>
        <w:autoSpaceDE w:val="0"/>
        <w:autoSpaceDN w:val="0"/>
        <w:adjustRightInd w:val="0"/>
      </w:pPr>
      <w:r w:rsidRPr="00CA1DF1">
        <w:rPr>
          <w:rFonts w:cs="Arial"/>
          <w:szCs w:val="22"/>
          <w:lang w:eastAsia="en-GB" w:bidi="ar-SA"/>
        </w:rPr>
        <w:t xml:space="preserve">Standard 1.4.2 lists the limits for agvet chemical residues which may occur in foods. </w:t>
      </w:r>
      <w:r>
        <w:rPr>
          <w:rFonts w:cs="Arial"/>
          <w:szCs w:val="22"/>
          <w:lang w:eastAsia="en-GB" w:bidi="ar-SA"/>
        </w:rPr>
        <w:t xml:space="preserve">These limits are </w:t>
      </w:r>
      <w:r>
        <w:rPr>
          <w:noProof/>
        </w:rPr>
        <w:t>m</w:t>
      </w:r>
      <w:r w:rsidRPr="00CA1DF1">
        <w:rPr>
          <w:noProof/>
        </w:rPr>
        <w:t>andatory</w:t>
      </w:r>
      <w:r>
        <w:rPr>
          <w:noProof/>
        </w:rPr>
        <w:t xml:space="preserve"> and apply </w:t>
      </w:r>
      <w:r w:rsidRPr="00CA1DF1">
        <w:rPr>
          <w:noProof/>
        </w:rPr>
        <w:t xml:space="preserve">to all food products of a particular class whether produced domestically or imported. Food products with residues exceeding the relevant limit listed in the Code cannot legally be supplied in Australia. This ensures </w:t>
      </w:r>
      <w:r w:rsidRPr="00CA1DF1">
        <w:t xml:space="preserve">that residues of agvet chemicals are kept as low as possible and </w:t>
      </w:r>
      <w:r>
        <w:t xml:space="preserve">are </w:t>
      </w:r>
      <w:r w:rsidRPr="00CA1DF1">
        <w:t>consistent with the approved use of chemical products to control pests and diseases of plants and animals.</w:t>
      </w:r>
    </w:p>
    <w:p w14:paraId="74D69FAC" w14:textId="16E1764E" w:rsidR="00131DAD" w:rsidRDefault="00131DAD" w:rsidP="00131DAD">
      <w:pPr>
        <w:pStyle w:val="Heading3"/>
      </w:pPr>
      <w:bookmarkStart w:id="21" w:name="_Toc419977498"/>
      <w:bookmarkStart w:id="22" w:name="_Toc427156657"/>
      <w:r>
        <w:t>1.2.1</w:t>
      </w:r>
      <w:r>
        <w:tab/>
      </w:r>
      <w:r w:rsidR="00EA2185">
        <w:t xml:space="preserve">International Standards and </w:t>
      </w:r>
      <w:r>
        <w:t>Codex Alimentarius Commission Standards</w:t>
      </w:r>
      <w:bookmarkEnd w:id="21"/>
      <w:bookmarkEnd w:id="22"/>
    </w:p>
    <w:p w14:paraId="68B87CDF" w14:textId="77777777" w:rsidR="00131DAD" w:rsidRPr="00A102DE" w:rsidRDefault="00131DAD" w:rsidP="00131DAD">
      <w:pPr>
        <w:widowControl/>
        <w:autoSpaceDE w:val="0"/>
        <w:autoSpaceDN w:val="0"/>
        <w:adjustRightInd w:val="0"/>
        <w:rPr>
          <w:szCs w:val="22"/>
        </w:rPr>
      </w:pPr>
      <w:r w:rsidRPr="00A102DE">
        <w:rPr>
          <w:szCs w:val="22"/>
        </w:rPr>
        <w:t>Codex standards are used as the relevant international standard to determine whether a new or changed standa</w:t>
      </w:r>
      <w:r>
        <w:rPr>
          <w:szCs w:val="22"/>
        </w:rPr>
        <w:t>rd requires a WTO notification. Codex has not established MRLs for coumatetralyl or warfarin. MRLs for coumatetralyl and warfarin are not specifically established by other regulatory authorities, however some international pesticide databases list default MRLs that apply to any chemical/food combination, including coumatetralyl and warfarin. Examples include: *0.01</w:t>
      </w:r>
      <w:r>
        <w:rPr>
          <w:rStyle w:val="FootnoteReference"/>
          <w:szCs w:val="22"/>
        </w:rPr>
        <w:footnoteReference w:id="3"/>
      </w:r>
      <w:r>
        <w:rPr>
          <w:szCs w:val="22"/>
        </w:rPr>
        <w:t xml:space="preserve"> mg/kg by the European Union, 0.001 mg/kg in Japan and 0.1 mg/kg in New Zealand. </w:t>
      </w:r>
    </w:p>
    <w:p w14:paraId="089B6CBA" w14:textId="77777777" w:rsidR="00131DAD" w:rsidRPr="00CA1DF1" w:rsidRDefault="00131DAD" w:rsidP="00131DAD">
      <w:pPr>
        <w:widowControl/>
        <w:autoSpaceDE w:val="0"/>
        <w:autoSpaceDN w:val="0"/>
        <w:adjustRightInd w:val="0"/>
        <w:rPr>
          <w:szCs w:val="22"/>
        </w:rPr>
      </w:pPr>
    </w:p>
    <w:p w14:paraId="4DA6DCC2" w14:textId="51A5B67D" w:rsidR="00131DAD" w:rsidRPr="00CA1DF1" w:rsidRDefault="00131DAD" w:rsidP="00131DAD">
      <w:pPr>
        <w:rPr>
          <w:szCs w:val="22"/>
        </w:rPr>
      </w:pPr>
      <w:r w:rsidRPr="002B698B">
        <w:rPr>
          <w:szCs w:val="22"/>
        </w:rPr>
        <w:t xml:space="preserve">FSANZ may consider varying limits for residues of </w:t>
      </w:r>
      <w:r w:rsidR="00493268">
        <w:rPr>
          <w:szCs w:val="22"/>
        </w:rPr>
        <w:t>agvet</w:t>
      </w:r>
      <w:r w:rsidRPr="002B698B">
        <w:rPr>
          <w:szCs w:val="22"/>
        </w:rPr>
        <w:t xml:space="preserve"> chemicals in food in a </w:t>
      </w:r>
      <w:r>
        <w:rPr>
          <w:szCs w:val="22"/>
        </w:rPr>
        <w:t>p</w:t>
      </w:r>
      <w:r w:rsidRPr="002B698B">
        <w:rPr>
          <w:szCs w:val="22"/>
        </w:rPr>
        <w:t>roposal</w:t>
      </w:r>
      <w:r w:rsidR="003805F7">
        <w:rPr>
          <w:szCs w:val="22"/>
        </w:rPr>
        <w:t>,</w:t>
      </w:r>
      <w:r w:rsidRPr="002B698B">
        <w:rPr>
          <w:szCs w:val="22"/>
        </w:rPr>
        <w:t xml:space="preserve"> </w:t>
      </w:r>
      <w:r>
        <w:rPr>
          <w:szCs w:val="22"/>
        </w:rPr>
        <w:t xml:space="preserve">when </w:t>
      </w:r>
      <w:r w:rsidRPr="002B698B">
        <w:rPr>
          <w:szCs w:val="22"/>
        </w:rPr>
        <w:t>there are differences between the Code and international standards that may negatively impact on trade. In some cases, the Australian MRL may exceed a Codex MRL due to different use patterns from those considered at the time the Codex MRL was set. In these cases, as for the consideration for any MRL, the assessment process ensures that the levels of residues in food are safe</w:t>
      </w:r>
      <w:r>
        <w:rPr>
          <w:szCs w:val="22"/>
        </w:rPr>
        <w:t xml:space="preserve"> for the Australian population</w:t>
      </w:r>
      <w:r w:rsidRPr="002B698B">
        <w:rPr>
          <w:szCs w:val="22"/>
        </w:rPr>
        <w:t xml:space="preserve">. </w:t>
      </w:r>
    </w:p>
    <w:p w14:paraId="11592BE8" w14:textId="2D13735F" w:rsidR="007A53BF" w:rsidRPr="007A53BF" w:rsidRDefault="00872007" w:rsidP="00CE59AA">
      <w:pPr>
        <w:pStyle w:val="Heading2"/>
        <w:rPr>
          <w:u w:color="FFFF00"/>
        </w:rPr>
      </w:pPr>
      <w:bookmarkStart w:id="23" w:name="_Toc286391007"/>
      <w:bookmarkStart w:id="24" w:name="_Toc300933423"/>
      <w:bookmarkStart w:id="25" w:name="_Toc370223468"/>
      <w:bookmarkStart w:id="26" w:name="_Toc175381432"/>
      <w:bookmarkStart w:id="27" w:name="_Toc427156658"/>
      <w:r>
        <w:rPr>
          <w:u w:color="FFFF00"/>
        </w:rPr>
        <w:t>1.3</w:t>
      </w:r>
      <w:r w:rsidR="007A53BF" w:rsidRPr="007A53BF">
        <w:rPr>
          <w:u w:color="FFFF00"/>
        </w:rPr>
        <w:tab/>
        <w:t xml:space="preserve">Reasons for </w:t>
      </w:r>
      <w:bookmarkEnd w:id="23"/>
      <w:bookmarkEnd w:id="24"/>
      <w:r w:rsidR="007A53BF" w:rsidRPr="00131DAD">
        <w:t>preparing Proposal</w:t>
      </w:r>
      <w:bookmarkEnd w:id="25"/>
      <w:bookmarkEnd w:id="27"/>
    </w:p>
    <w:p w14:paraId="238BE56D" w14:textId="0096E323" w:rsidR="00131DAD" w:rsidRDefault="00131DAD" w:rsidP="00131DAD">
      <w:bookmarkStart w:id="28" w:name="_Toc370223469"/>
      <w:bookmarkEnd w:id="26"/>
      <w:r w:rsidRPr="00CA1DF1">
        <w:t xml:space="preserve">The Proposal </w:t>
      </w:r>
      <w:r>
        <w:t>was prepared to</w:t>
      </w:r>
      <w:r w:rsidRPr="00CA1DF1">
        <w:t xml:space="preserve"> consider adding</w:t>
      </w:r>
      <w:r>
        <w:t xml:space="preserve"> </w:t>
      </w:r>
      <w:r w:rsidR="00E37F59">
        <w:t xml:space="preserve">temporary </w:t>
      </w:r>
      <w:r w:rsidRPr="00CA1DF1">
        <w:t xml:space="preserve">MRLs </w:t>
      </w:r>
      <w:r>
        <w:t>in pork commodities into Standard 1.4.2 for the rodenticides coumatetralyl and warfarin. Currently, if there is no MRL in the Code for a given chemical/commodity combination, there is a zero tolerance approach to enforcement by the jurisdictions. This means that foods with low level residues of agvet chemicals that do not have MRLs listed in Standard 1.4.2 are in technical violation of the Code and are illegal for sale. Introducing MRLs for coumatetralyl and warfarin will allow certain pork commodities that inadvertently contain residues at low levels</w:t>
      </w:r>
      <w:r w:rsidR="00FF6E49">
        <w:t xml:space="preserve"> </w:t>
      </w:r>
      <w:r>
        <w:t xml:space="preserve">to be legally sold in Australia. </w:t>
      </w:r>
    </w:p>
    <w:p w14:paraId="48ED5738" w14:textId="5FDB3146" w:rsidR="00131DAD" w:rsidRDefault="00131DAD" w:rsidP="00131DAD"/>
    <w:p w14:paraId="0111219A" w14:textId="77777777" w:rsidR="004A4DC2" w:rsidRDefault="004A4DC2" w:rsidP="00131DAD">
      <w:r>
        <w:br w:type="page"/>
      </w:r>
    </w:p>
    <w:p w14:paraId="00231444" w14:textId="5B30FAC4" w:rsidR="00131DAD" w:rsidRPr="00964914" w:rsidRDefault="00131DAD" w:rsidP="00131DAD">
      <w:pPr>
        <w:rPr>
          <w:b/>
          <w:i/>
        </w:rPr>
      </w:pPr>
      <w:r>
        <w:lastRenderedPageBreak/>
        <w:t xml:space="preserve">These amendments </w:t>
      </w:r>
      <w:r w:rsidRPr="00CA1DF1">
        <w:t xml:space="preserve">align </w:t>
      </w:r>
      <w:r>
        <w:t xml:space="preserve">Standard 1.4.2 </w:t>
      </w:r>
      <w:r w:rsidRPr="00CA1DF1">
        <w:t xml:space="preserve">with </w:t>
      </w:r>
      <w:r>
        <w:t xml:space="preserve">recent temporary MRL amendments gazetted by </w:t>
      </w:r>
      <w:r w:rsidRPr="00CA1DF1">
        <w:t xml:space="preserve">the </w:t>
      </w:r>
      <w:r>
        <w:t>APVMA</w:t>
      </w:r>
      <w:r w:rsidRPr="00CA1DF1">
        <w:t xml:space="preserve">. </w:t>
      </w:r>
      <w:r w:rsidRPr="00B913A5">
        <w:t>These MRLs were inserted into the A</w:t>
      </w:r>
      <w:r w:rsidR="00C07367">
        <w:t xml:space="preserve">PVMA </w:t>
      </w:r>
      <w:r w:rsidRPr="00B913A5">
        <w:t>MRL Standard in mid-April 2015</w:t>
      </w:r>
      <w:r>
        <w:t>.</w:t>
      </w:r>
      <w:r w:rsidR="0060295B">
        <w:t xml:space="preserve"> The APVMA will review these temporary MRLs in 2016</w:t>
      </w:r>
      <w:r w:rsidR="003F40C2">
        <w:t xml:space="preserve">. </w:t>
      </w:r>
    </w:p>
    <w:p w14:paraId="5CCD14D9" w14:textId="77777777" w:rsidR="00131DAD" w:rsidRDefault="00131DAD" w:rsidP="00131DAD">
      <w:pPr>
        <w:rPr>
          <w:highlight w:val="lightGray"/>
        </w:rPr>
      </w:pPr>
    </w:p>
    <w:p w14:paraId="42A59FC0" w14:textId="51A0404F" w:rsidR="00131DAD" w:rsidRDefault="00131DAD" w:rsidP="00131DAD">
      <w:r w:rsidRPr="005E02CB">
        <w:t>The proposed MRLs will permit the sale of foods containing legitimate residues</w:t>
      </w:r>
      <w:r>
        <w:t>,</w:t>
      </w:r>
      <w:r w:rsidRPr="005E02CB">
        <w:t xml:space="preserve"> protect health and safety and minimise residues in foods consistent with the effective control of pests and diseases.</w:t>
      </w:r>
    </w:p>
    <w:p w14:paraId="66EE6596" w14:textId="77777777" w:rsidR="00131DAD" w:rsidRDefault="00131DAD" w:rsidP="00131DAD"/>
    <w:p w14:paraId="62BC075A" w14:textId="77777777" w:rsidR="00131DAD" w:rsidRPr="005E02CB" w:rsidRDefault="00131DAD" w:rsidP="00131DAD">
      <w:r>
        <w:t xml:space="preserve">The limits may minimise potential trade disruption and extend consumer choice. </w:t>
      </w:r>
    </w:p>
    <w:p w14:paraId="4F0F5DBD" w14:textId="3127A48F" w:rsidR="007A53BF" w:rsidRPr="007A53BF" w:rsidRDefault="007A53BF" w:rsidP="00CE59AA">
      <w:pPr>
        <w:pStyle w:val="Heading2"/>
      </w:pPr>
      <w:bookmarkStart w:id="29" w:name="_Toc427156659"/>
      <w:r w:rsidRPr="007A53BF">
        <w:t>1.</w:t>
      </w:r>
      <w:r w:rsidR="00872007">
        <w:t>4</w:t>
      </w:r>
      <w:r w:rsidRPr="007A53BF">
        <w:tab/>
        <w:t>Procedure for assessment</w:t>
      </w:r>
      <w:bookmarkEnd w:id="28"/>
      <w:bookmarkEnd w:id="29"/>
    </w:p>
    <w:p w14:paraId="1B8BF9D9" w14:textId="0C9E6480" w:rsidR="00AF397D" w:rsidRDefault="00AF397D" w:rsidP="00AF397D">
      <w:r w:rsidRPr="00932F14">
        <w:t xml:space="preserve">The </w:t>
      </w:r>
      <w:r w:rsidRPr="00131DAD">
        <w:t>Proposal was assessed under the General Procedure</w:t>
      </w:r>
      <w:r w:rsidRPr="00932F14">
        <w:t>.</w:t>
      </w:r>
    </w:p>
    <w:p w14:paraId="63FCB9AB" w14:textId="3A1E1C39" w:rsidR="00422EC9" w:rsidRDefault="007A53BF" w:rsidP="00422EC9">
      <w:pPr>
        <w:pStyle w:val="Heading2"/>
      </w:pPr>
      <w:bookmarkStart w:id="30" w:name="_Toc427156660"/>
      <w:r>
        <w:t>1</w:t>
      </w:r>
      <w:r w:rsidR="00422EC9">
        <w:t>.</w:t>
      </w:r>
      <w:r w:rsidR="00872007">
        <w:t>5</w:t>
      </w:r>
      <w:r w:rsidR="00422EC9">
        <w:tab/>
      </w:r>
      <w:r w:rsidR="00422EC9" w:rsidRPr="00932F14">
        <w:t>Decision</w:t>
      </w:r>
      <w:bookmarkEnd w:id="30"/>
    </w:p>
    <w:p w14:paraId="716BCC08" w14:textId="6F34BD68" w:rsidR="002C1A3B" w:rsidRDefault="00422EC9" w:rsidP="002C1A3B">
      <w:r>
        <w:t xml:space="preserve">The draft </w:t>
      </w:r>
      <w:r w:rsidR="00E30092" w:rsidRPr="007A3E6E">
        <w:t xml:space="preserve">variation </w:t>
      </w:r>
      <w:r w:rsidRPr="007A3E6E">
        <w:t>as proposed following assessment was approved without change</w:t>
      </w:r>
      <w:r>
        <w:t>.</w:t>
      </w:r>
      <w:r w:rsidR="002C1A3B">
        <w:t xml:space="preserve"> </w:t>
      </w:r>
      <w:r w:rsidR="002C1A3B" w:rsidRPr="007A3E6E">
        <w:t xml:space="preserve">The variation takes </w:t>
      </w:r>
      <w:r w:rsidR="002C1A3B" w:rsidRPr="00D26814">
        <w:t>effect on</w:t>
      </w:r>
      <w:r w:rsidR="002C1A3B">
        <w:t xml:space="preserve"> </w:t>
      </w:r>
      <w:r w:rsidR="00657640">
        <w:t xml:space="preserve">gazettal. </w:t>
      </w:r>
    </w:p>
    <w:p w14:paraId="4F7F32DC" w14:textId="77777777" w:rsidR="00422EC9" w:rsidRDefault="00422EC9" w:rsidP="00422EC9"/>
    <w:p w14:paraId="5DCF0799" w14:textId="68669CD0" w:rsidR="00401ADE" w:rsidRDefault="00422EC9" w:rsidP="002C1A3B">
      <w:r>
        <w:t xml:space="preserve">The </w:t>
      </w:r>
      <w:r w:rsidR="002C1A3B">
        <w:t xml:space="preserve">approved </w:t>
      </w:r>
      <w:r>
        <w:t xml:space="preserve">draft </w:t>
      </w:r>
      <w:r w:rsidR="00E30092" w:rsidRPr="001C2199">
        <w:t>variation</w:t>
      </w:r>
      <w:r w:rsidR="00475FC4">
        <w:t xml:space="preserve"> and the related explanatory statement </w:t>
      </w:r>
      <w:r w:rsidR="003805F7">
        <w:t>is at Attachment A</w:t>
      </w:r>
      <w:r w:rsidR="00475FC4">
        <w:t>.</w:t>
      </w:r>
    </w:p>
    <w:p w14:paraId="6A636513" w14:textId="0C566A92" w:rsidR="00401ADE" w:rsidRDefault="00401ADE" w:rsidP="00401ADE"/>
    <w:p w14:paraId="4DDC5317" w14:textId="6FC2CABF" w:rsidR="006E278E" w:rsidRDefault="002C1A3B" w:rsidP="002C1A3B">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14:paraId="6546FF73" w14:textId="77777777" w:rsidR="00BE1762" w:rsidRDefault="00BE1762" w:rsidP="002C1A3B"/>
    <w:p w14:paraId="56E194DF" w14:textId="11A22CE5" w:rsidR="00BE1762" w:rsidRPr="00196688" w:rsidRDefault="00BE1762" w:rsidP="00BE1762">
      <w:pPr>
        <w:rPr>
          <w:lang w:bidi="ar-SA"/>
        </w:rPr>
      </w:pPr>
      <w:r>
        <w:t>A revision of the Code via Proposal P1025</w:t>
      </w:r>
      <w:r w:rsidRPr="00A224C4">
        <w:rPr>
          <w:lang w:bidi="ar-SA"/>
        </w:rPr>
        <w:t xml:space="preserve"> –</w:t>
      </w:r>
      <w:r>
        <w:rPr>
          <w:lang w:bidi="ar-SA"/>
        </w:rPr>
        <w:t xml:space="preserve"> Code Revision</w:t>
      </w:r>
      <w:r>
        <w:t>, will replace the existing Code on 1 March 2016. Proposal M1013 is being progressed by FSANZ</w:t>
      </w:r>
      <w:r w:rsidR="00F718B7">
        <w:t xml:space="preserve"> to </w:t>
      </w:r>
      <w:r>
        <w:t xml:space="preserve">amend the revised Code to ensure it contains the same MRLs that the approved draft variation </w:t>
      </w:r>
      <w:r w:rsidR="00F718B7">
        <w:t xml:space="preserve">at Attachment A </w:t>
      </w:r>
      <w:r>
        <w:t>inserts into the existing Code</w:t>
      </w:r>
      <w:r>
        <w:rPr>
          <w:lang w:eastAsia="en-GB"/>
        </w:rPr>
        <w:t>.</w:t>
      </w:r>
    </w:p>
    <w:p w14:paraId="1A39B7B0" w14:textId="2FEAE8A3" w:rsidR="0012388D" w:rsidRDefault="007A53BF" w:rsidP="00755F02">
      <w:pPr>
        <w:pStyle w:val="Heading1"/>
      </w:pPr>
      <w:bookmarkStart w:id="31" w:name="_Toc11735630"/>
      <w:bookmarkStart w:id="32" w:name="_Toc29883114"/>
      <w:bookmarkStart w:id="33" w:name="_Toc41906801"/>
      <w:bookmarkStart w:id="34" w:name="_Toc41907548"/>
      <w:bookmarkStart w:id="35" w:name="_Toc120358578"/>
      <w:bookmarkStart w:id="36" w:name="_Toc175381435"/>
      <w:bookmarkStart w:id="37" w:name="_Toc427156661"/>
      <w:bookmarkEnd w:id="4"/>
      <w:bookmarkEnd w:id="5"/>
      <w:bookmarkEnd w:id="6"/>
      <w:bookmarkEnd w:id="7"/>
      <w:bookmarkEnd w:id="8"/>
      <w:r>
        <w:t>2</w:t>
      </w:r>
      <w:r w:rsidR="00AC428E">
        <w:tab/>
      </w:r>
      <w:r w:rsidR="00AF387F" w:rsidRPr="00CC560B">
        <w:t xml:space="preserve">Summary </w:t>
      </w:r>
      <w:r w:rsidR="00AF387F" w:rsidRPr="000B6AF2">
        <w:rPr>
          <w:u w:color="FFFF00"/>
        </w:rPr>
        <w:t>of</w:t>
      </w:r>
      <w:r w:rsidR="00AF387F" w:rsidRPr="00CC560B">
        <w:t xml:space="preserve"> the findings</w:t>
      </w:r>
      <w:bookmarkEnd w:id="37"/>
    </w:p>
    <w:p w14:paraId="3348A45E" w14:textId="77777777" w:rsidR="007A53BF" w:rsidRPr="002C1A3B" w:rsidRDefault="007A53BF" w:rsidP="007A53BF">
      <w:pPr>
        <w:pStyle w:val="Heading2"/>
      </w:pPr>
      <w:bookmarkStart w:id="38" w:name="_Toc300933438"/>
      <w:bookmarkStart w:id="39" w:name="_Toc370223471"/>
      <w:bookmarkStart w:id="40" w:name="_Toc370225386"/>
      <w:bookmarkStart w:id="41" w:name="_Toc286391009"/>
      <w:bookmarkStart w:id="42" w:name="_Toc300933425"/>
      <w:bookmarkStart w:id="43" w:name="_Toc309291838"/>
      <w:bookmarkStart w:id="44" w:name="_Toc309385455"/>
      <w:bookmarkStart w:id="45" w:name="_Toc120358583"/>
      <w:bookmarkStart w:id="46" w:name="_Toc175381440"/>
      <w:bookmarkStart w:id="47" w:name="_Toc427156662"/>
      <w:r w:rsidRPr="002C1A3B">
        <w:t>2.1</w:t>
      </w:r>
      <w:r w:rsidRPr="002C1A3B">
        <w:tab/>
        <w:t xml:space="preserve">Summary of issues raised </w:t>
      </w:r>
      <w:bookmarkEnd w:id="38"/>
      <w:r w:rsidRPr="002C1A3B">
        <w:t>in submissions</w:t>
      </w:r>
      <w:bookmarkEnd w:id="39"/>
      <w:bookmarkEnd w:id="40"/>
      <w:bookmarkEnd w:id="47"/>
    </w:p>
    <w:p w14:paraId="04D6844B" w14:textId="77777777" w:rsidR="007A53BF" w:rsidRDefault="007A53BF" w:rsidP="007A53BF">
      <w:pPr>
        <w:pStyle w:val="FSTableTitle"/>
      </w:pPr>
      <w:r>
        <w:t xml:space="preserve">Table 1: Summary of issues </w:t>
      </w:r>
    </w:p>
    <w:p w14:paraId="349DD211" w14:textId="77777777" w:rsidR="007A53BF" w:rsidRPr="00B853D2" w:rsidRDefault="007A53BF" w:rsidP="007A53BF"/>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324"/>
        <w:gridCol w:w="3719"/>
      </w:tblGrid>
      <w:tr w:rsidR="007A53BF" w14:paraId="7570FDDA" w14:textId="77777777" w:rsidTr="004A4D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9" w:type="dxa"/>
            <w:tcBorders>
              <w:top w:val="none" w:sz="0" w:space="0" w:color="auto"/>
              <w:left w:val="none" w:sz="0" w:space="0" w:color="auto"/>
              <w:bottom w:val="none" w:sz="0" w:space="0" w:color="auto"/>
              <w:right w:val="none" w:sz="0" w:space="0" w:color="auto"/>
            </w:tcBorders>
          </w:tcPr>
          <w:p w14:paraId="25909F15" w14:textId="77777777" w:rsidR="007A53BF" w:rsidRDefault="007A53BF" w:rsidP="007A53BF">
            <w:pPr>
              <w:spacing w:after="240"/>
            </w:pPr>
            <w:r>
              <w:t>Issue</w:t>
            </w:r>
          </w:p>
        </w:tc>
        <w:tc>
          <w:tcPr>
            <w:tcW w:w="2324" w:type="dxa"/>
            <w:tcBorders>
              <w:top w:val="none" w:sz="0" w:space="0" w:color="auto"/>
              <w:left w:val="none" w:sz="0" w:space="0" w:color="auto"/>
              <w:bottom w:val="none" w:sz="0" w:space="0" w:color="auto"/>
              <w:right w:val="none" w:sz="0" w:space="0" w:color="auto"/>
            </w:tcBorders>
          </w:tcPr>
          <w:p w14:paraId="3833B85A" w14:textId="77777777"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3719" w:type="dxa"/>
            <w:tcBorders>
              <w:top w:val="none" w:sz="0" w:space="0" w:color="auto"/>
              <w:left w:val="none" w:sz="0" w:space="0" w:color="auto"/>
              <w:bottom w:val="none" w:sz="0" w:space="0" w:color="auto"/>
              <w:right w:val="none" w:sz="0" w:space="0" w:color="auto"/>
            </w:tcBorders>
          </w:tcPr>
          <w:p w14:paraId="333438BA" w14:textId="5565BDFA" w:rsidR="001D43F6" w:rsidRDefault="007A53BF" w:rsidP="00FF6E49">
            <w:pPr>
              <w:spacing w:after="240"/>
              <w:cnfStyle w:val="100000000000" w:firstRow="1" w:lastRow="0" w:firstColumn="0" w:lastColumn="0" w:oddVBand="0" w:evenVBand="0" w:oddHBand="0" w:evenHBand="0" w:firstRowFirstColumn="0" w:firstRowLastColumn="0" w:lastRowFirstColumn="0" w:lastRowLastColumn="0"/>
            </w:pPr>
            <w:r>
              <w:t>FSANZ response</w:t>
            </w:r>
          </w:p>
        </w:tc>
      </w:tr>
      <w:tr w:rsidR="007A53BF" w14:paraId="658F9B00" w14:textId="77777777" w:rsidTr="004A4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tcBorders>
              <w:right w:val="none" w:sz="0" w:space="0" w:color="auto"/>
            </w:tcBorders>
          </w:tcPr>
          <w:p w14:paraId="6BEC0B2A" w14:textId="20ED35D9" w:rsidR="007A53BF" w:rsidRDefault="00BE0E1B" w:rsidP="0086571E">
            <w:pPr>
              <w:pStyle w:val="Table2"/>
            </w:pPr>
            <w:r>
              <w:t>Support progression of the Proposal</w:t>
            </w:r>
          </w:p>
          <w:p w14:paraId="59752871" w14:textId="7BD62A67" w:rsidR="00E754B3" w:rsidRDefault="00E754B3" w:rsidP="0086571E">
            <w:pPr>
              <w:pStyle w:val="Table2"/>
            </w:pPr>
          </w:p>
          <w:p w14:paraId="051D9BF7" w14:textId="77777777" w:rsidR="00E754B3" w:rsidRDefault="00E754B3" w:rsidP="00E754B3">
            <w:pPr>
              <w:pStyle w:val="Table2"/>
            </w:pPr>
            <w:r>
              <w:t>Specific issues raised:</w:t>
            </w:r>
          </w:p>
          <w:p w14:paraId="0D5D8B14" w14:textId="77777777" w:rsidR="00E754B3" w:rsidRDefault="00E754B3" w:rsidP="0086571E">
            <w:pPr>
              <w:pStyle w:val="Table2"/>
            </w:pPr>
          </w:p>
          <w:p w14:paraId="0AC77C93" w14:textId="7721E408" w:rsidR="00E754B3" w:rsidRPr="000778D6" w:rsidRDefault="00E754B3" w:rsidP="00A02AF3">
            <w:pPr>
              <w:pStyle w:val="Table2"/>
            </w:pPr>
            <w:r>
              <w:t xml:space="preserve">FSANZ should seek guidance from the Therapeutic Goods </w:t>
            </w:r>
            <w:r w:rsidR="00A02AF3">
              <w:t>Administration</w:t>
            </w:r>
            <w:r>
              <w:t xml:space="preserve"> on pharmacological risks of the proposed MRLs</w:t>
            </w:r>
          </w:p>
        </w:tc>
        <w:tc>
          <w:tcPr>
            <w:tcW w:w="2324" w:type="dxa"/>
            <w:tcBorders>
              <w:left w:val="none" w:sz="0" w:space="0" w:color="auto"/>
              <w:right w:val="none" w:sz="0" w:space="0" w:color="auto"/>
            </w:tcBorders>
          </w:tcPr>
          <w:p w14:paraId="7B5DD7C4" w14:textId="77777777" w:rsidR="00B50FE0" w:rsidRDefault="00BE0E1B" w:rsidP="0086571E">
            <w:pPr>
              <w:pStyle w:val="Table2"/>
              <w:cnfStyle w:val="000000100000" w:firstRow="0" w:lastRow="0" w:firstColumn="0" w:lastColumn="0" w:oddVBand="0" w:evenVBand="0" w:oddHBand="1" w:evenHBand="0" w:firstRowFirstColumn="0" w:firstRowLastColumn="0" w:lastRowFirstColumn="0" w:lastRowLastColumn="0"/>
            </w:pPr>
            <w:r>
              <w:t xml:space="preserve">NSW Food Authority (and the NSW Department of Primary Industries) </w:t>
            </w:r>
          </w:p>
          <w:p w14:paraId="4D3DE4FB" w14:textId="77777777" w:rsidR="00B50FE0" w:rsidRDefault="00B50FE0" w:rsidP="0086571E">
            <w:pPr>
              <w:pStyle w:val="Table2"/>
              <w:cnfStyle w:val="000000100000" w:firstRow="0" w:lastRow="0" w:firstColumn="0" w:lastColumn="0" w:oddVBand="0" w:evenVBand="0" w:oddHBand="1" w:evenHBand="0" w:firstRowFirstColumn="0" w:firstRowLastColumn="0" w:lastRowFirstColumn="0" w:lastRowLastColumn="0"/>
            </w:pPr>
          </w:p>
          <w:p w14:paraId="2202C7EE" w14:textId="1C2B123A" w:rsidR="007A53BF" w:rsidRPr="000778D6" w:rsidRDefault="00B50FE0" w:rsidP="004A4DC2">
            <w:pPr>
              <w:pStyle w:val="Table2"/>
              <w:cnfStyle w:val="000000100000" w:firstRow="0" w:lastRow="0" w:firstColumn="0" w:lastColumn="0" w:oddVBand="0" w:evenVBand="0" w:oddHBand="1" w:evenHBand="0" w:firstRowFirstColumn="0" w:firstRowLastColumn="0" w:lastRowFirstColumn="0" w:lastRowLastColumn="0"/>
            </w:pPr>
            <w:r>
              <w:t>Victorian Dep</w:t>
            </w:r>
            <w:r w:rsidR="004A4DC2">
              <w:t>ts</w:t>
            </w:r>
            <w:r>
              <w:t xml:space="preserve"> of Health and Human Services, Economic Development, Jobs, Transport and Resources and PrimeSafe (the Departments)</w:t>
            </w:r>
          </w:p>
        </w:tc>
        <w:tc>
          <w:tcPr>
            <w:tcW w:w="3719" w:type="dxa"/>
            <w:tcBorders>
              <w:left w:val="none" w:sz="0" w:space="0" w:color="auto"/>
            </w:tcBorders>
          </w:tcPr>
          <w:p w14:paraId="04DC1D60" w14:textId="7E7BCCED" w:rsidR="000248F8" w:rsidRDefault="00BE0E1B" w:rsidP="0086571E">
            <w:pPr>
              <w:pStyle w:val="Table2"/>
              <w:cnfStyle w:val="000000100000" w:firstRow="0" w:lastRow="0" w:firstColumn="0" w:lastColumn="0" w:oddVBand="0" w:evenVBand="0" w:oddHBand="1" w:evenHBand="0" w:firstRowFirstColumn="0" w:firstRowLastColumn="0" w:lastRowFirstColumn="0" w:lastRowLastColumn="0"/>
            </w:pPr>
            <w:r>
              <w:t xml:space="preserve">FSANZ </w:t>
            </w:r>
            <w:r w:rsidR="009379E4">
              <w:t>notes the variation</w:t>
            </w:r>
            <w:r w:rsidR="006851A0">
              <w:t xml:space="preserve"> is supported</w:t>
            </w:r>
            <w:r w:rsidR="000248F8">
              <w:t>.</w:t>
            </w:r>
          </w:p>
          <w:p w14:paraId="6F65665F" w14:textId="77777777" w:rsidR="000248F8" w:rsidRDefault="000248F8" w:rsidP="00C86166">
            <w:pPr>
              <w:pStyle w:val="Table2"/>
              <w:ind w:left="0" w:firstLine="0"/>
              <w:cnfStyle w:val="000000100000" w:firstRow="0" w:lastRow="0" w:firstColumn="0" w:lastColumn="0" w:oddVBand="0" w:evenVBand="0" w:oddHBand="1" w:evenHBand="0" w:firstRowFirstColumn="0" w:firstRowLastColumn="0" w:lastRowFirstColumn="0" w:lastRowLastColumn="0"/>
            </w:pPr>
          </w:p>
          <w:p w14:paraId="5FBCB599" w14:textId="604CD8F5" w:rsidR="00E754B3" w:rsidRPr="000778D6" w:rsidRDefault="00E754B3" w:rsidP="00404B78">
            <w:pPr>
              <w:pStyle w:val="Table2"/>
              <w:cnfStyle w:val="000000100000" w:firstRow="0" w:lastRow="0" w:firstColumn="0" w:lastColumn="0" w:oddVBand="0" w:evenVBand="0" w:oddHBand="1" w:evenHBand="0" w:firstRowFirstColumn="0" w:firstRowLastColumn="0" w:lastRowFirstColumn="0" w:lastRowLastColumn="0"/>
            </w:pPr>
            <w:r>
              <w:t>C</w:t>
            </w:r>
            <w:r w:rsidRPr="008E7292">
              <w:t xml:space="preserve">oumatetralyl and warfarin </w:t>
            </w:r>
            <w:r>
              <w:t>have a common mode of pharmacological action</w:t>
            </w:r>
            <w:r w:rsidR="009379E4">
              <w:t xml:space="preserve">. The levels of residues on food are so low that there will be no impact </w:t>
            </w:r>
            <w:r w:rsidR="00640DA4">
              <w:t xml:space="preserve">on </w:t>
            </w:r>
            <w:r w:rsidR="009379E4">
              <w:t>the therapeutic dose for people taking warfarin medication. It is also noted that the</w:t>
            </w:r>
            <w:r>
              <w:t xml:space="preserve"> respective </w:t>
            </w:r>
            <w:r w:rsidR="0046748D">
              <w:t xml:space="preserve">DEAs based on consumption of </w:t>
            </w:r>
            <w:r>
              <w:t xml:space="preserve">pork do not exceed </w:t>
            </w:r>
            <w:r w:rsidR="0046748D">
              <w:t xml:space="preserve">the relevant </w:t>
            </w:r>
            <w:r>
              <w:t>tolerable daily intake (TDI)</w:t>
            </w:r>
            <w:r w:rsidR="00D77828">
              <w:t>.</w:t>
            </w:r>
          </w:p>
        </w:tc>
      </w:tr>
      <w:tr w:rsidR="007A53BF" w14:paraId="19B6C662" w14:textId="77777777" w:rsidTr="004A4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tcBorders>
              <w:right w:val="none" w:sz="0" w:space="0" w:color="auto"/>
            </w:tcBorders>
          </w:tcPr>
          <w:p w14:paraId="322E0A14" w14:textId="0E92DF27" w:rsidR="007A53BF" w:rsidRDefault="004D0516" w:rsidP="004D0516">
            <w:pPr>
              <w:pStyle w:val="Table2"/>
            </w:pPr>
            <w:r>
              <w:t>Support p</w:t>
            </w:r>
            <w:r w:rsidR="00B50FE0">
              <w:t xml:space="preserve">roposed inclusion on basis that more information is provided </w:t>
            </w:r>
            <w:r w:rsidR="00E52993">
              <w:t xml:space="preserve">about the risk assessment to address concerns about </w:t>
            </w:r>
            <w:r w:rsidR="00D5077F">
              <w:t xml:space="preserve">public </w:t>
            </w:r>
            <w:r w:rsidR="00E52993">
              <w:t xml:space="preserve">health; and that the </w:t>
            </w:r>
            <w:r w:rsidR="00B50FE0">
              <w:t xml:space="preserve">MRLs are temporary in nature. </w:t>
            </w:r>
          </w:p>
          <w:p w14:paraId="46936A77" w14:textId="1A7853B9" w:rsidR="00493268" w:rsidRDefault="00493268" w:rsidP="004D0516">
            <w:pPr>
              <w:pStyle w:val="Table2"/>
            </w:pPr>
            <w:r>
              <w:lastRenderedPageBreak/>
              <w:t>Specific issues raised:</w:t>
            </w:r>
          </w:p>
          <w:p w14:paraId="081EA3A3" w14:textId="77777777" w:rsidR="007D669D" w:rsidRDefault="007D669D" w:rsidP="004D0516">
            <w:pPr>
              <w:pStyle w:val="Table2"/>
            </w:pPr>
          </w:p>
          <w:p w14:paraId="591826BC" w14:textId="22A5ECC8" w:rsidR="00493268" w:rsidRPr="007D669D" w:rsidRDefault="00493268" w:rsidP="007D669D">
            <w:pPr>
              <w:pStyle w:val="Table2"/>
              <w:ind w:left="0" w:firstLine="0"/>
              <w:rPr>
                <w:b w:val="0"/>
              </w:rPr>
            </w:pPr>
            <w:r w:rsidRPr="00493268">
              <w:t>Inconsistent approach regarding</w:t>
            </w:r>
            <w:r w:rsidR="00750723">
              <w:t xml:space="preserve"> inclusion of</w:t>
            </w:r>
            <w:r w:rsidRPr="00493268">
              <w:t xml:space="preserve"> rodenticide residues in food</w:t>
            </w:r>
            <w:r w:rsidR="00750723">
              <w:t xml:space="preserve"> and with proposed criteria for low level MRLs in P1027</w:t>
            </w:r>
            <w:r w:rsidR="00750723">
              <w:rPr>
                <w:rStyle w:val="FootnoteReference"/>
              </w:rPr>
              <w:footnoteReference w:id="4"/>
            </w:r>
          </w:p>
          <w:p w14:paraId="63D53978" w14:textId="77777777" w:rsidR="00493268" w:rsidRDefault="00493268" w:rsidP="004D0516">
            <w:pPr>
              <w:pStyle w:val="Table2"/>
            </w:pPr>
          </w:p>
          <w:p w14:paraId="0ED84CF4" w14:textId="77777777" w:rsidR="00493268" w:rsidRDefault="00493268" w:rsidP="004D0516">
            <w:pPr>
              <w:pStyle w:val="Table2"/>
            </w:pPr>
          </w:p>
          <w:p w14:paraId="4E235864" w14:textId="021CF85A" w:rsidR="00D05298" w:rsidRDefault="00D05298" w:rsidP="007D669D">
            <w:pPr>
              <w:pStyle w:val="Table2"/>
              <w:ind w:left="0" w:firstLine="0"/>
              <w:rPr>
                <w:b w:val="0"/>
              </w:rPr>
            </w:pPr>
          </w:p>
          <w:p w14:paraId="3DEC2DF1" w14:textId="2CD5FAFE" w:rsidR="00493268" w:rsidRDefault="00493268" w:rsidP="007D669D">
            <w:pPr>
              <w:pStyle w:val="Table2"/>
              <w:ind w:left="0" w:firstLine="0"/>
              <w:rPr>
                <w:b w:val="0"/>
              </w:rPr>
            </w:pPr>
            <w:r w:rsidRPr="00493268">
              <w:t xml:space="preserve">Residues may occur through normal lawful use of rodenticides, proposed MRLs provide </w:t>
            </w:r>
            <w:r w:rsidRPr="007D669D">
              <w:rPr>
                <w:i/>
              </w:rPr>
              <w:t>de facto</w:t>
            </w:r>
            <w:r w:rsidRPr="00493268">
              <w:t xml:space="preserve"> permission for the misapplication of rodenticides, and current labelling directions are adequate</w:t>
            </w:r>
          </w:p>
          <w:p w14:paraId="5076EFA5" w14:textId="77777777" w:rsidR="00493268" w:rsidRPr="007D669D" w:rsidRDefault="00493268" w:rsidP="007D669D">
            <w:pPr>
              <w:pStyle w:val="Table2"/>
              <w:ind w:left="0" w:firstLine="0"/>
            </w:pPr>
          </w:p>
          <w:p w14:paraId="7DD46940" w14:textId="77777777" w:rsidR="00493268" w:rsidRPr="007D669D" w:rsidRDefault="00493268" w:rsidP="007D669D">
            <w:pPr>
              <w:pStyle w:val="Table2"/>
              <w:ind w:left="0" w:firstLine="0"/>
            </w:pPr>
          </w:p>
          <w:p w14:paraId="58D6B40F" w14:textId="77777777" w:rsidR="00493268" w:rsidRPr="007D669D" w:rsidRDefault="00493268" w:rsidP="007D669D">
            <w:pPr>
              <w:pStyle w:val="Table2"/>
              <w:ind w:left="0" w:firstLine="0"/>
            </w:pPr>
          </w:p>
          <w:p w14:paraId="61AFFA79" w14:textId="543185E0" w:rsidR="00D50421" w:rsidRDefault="00D50421" w:rsidP="007D669D">
            <w:pPr>
              <w:pStyle w:val="Table2"/>
              <w:ind w:left="0" w:firstLine="0"/>
            </w:pPr>
          </w:p>
          <w:p w14:paraId="3F351420" w14:textId="77777777" w:rsidR="00A15E68" w:rsidRDefault="00A15E68" w:rsidP="007D669D">
            <w:pPr>
              <w:pStyle w:val="Table2"/>
              <w:ind w:left="0" w:firstLine="0"/>
            </w:pPr>
          </w:p>
          <w:p w14:paraId="06E32C92" w14:textId="77777777" w:rsidR="00D50421" w:rsidRPr="007D669D" w:rsidRDefault="00D50421" w:rsidP="007D669D">
            <w:pPr>
              <w:pStyle w:val="Table2"/>
              <w:ind w:left="0" w:firstLine="0"/>
            </w:pPr>
          </w:p>
          <w:p w14:paraId="60461BF8" w14:textId="30944368" w:rsidR="00493268" w:rsidRPr="007D669D" w:rsidRDefault="00493268" w:rsidP="007D669D">
            <w:pPr>
              <w:pStyle w:val="Table2"/>
              <w:ind w:left="0" w:firstLine="0"/>
            </w:pPr>
            <w:r w:rsidRPr="007D669D">
              <w:t>Dietary risk assessment conforms to accepted international methodology</w:t>
            </w:r>
          </w:p>
          <w:p w14:paraId="3A5D7BE8" w14:textId="77777777" w:rsidR="00FF734C" w:rsidRPr="007D669D" w:rsidRDefault="00FF734C" w:rsidP="007D669D">
            <w:pPr>
              <w:pStyle w:val="Table2"/>
              <w:ind w:left="0" w:firstLine="0"/>
            </w:pPr>
          </w:p>
          <w:p w14:paraId="2F6750F2" w14:textId="77777777" w:rsidR="00FF734C" w:rsidRPr="007D669D" w:rsidRDefault="00FF734C" w:rsidP="007D669D">
            <w:pPr>
              <w:pStyle w:val="Table2"/>
              <w:ind w:left="0" w:firstLine="0"/>
            </w:pPr>
          </w:p>
          <w:p w14:paraId="29992058" w14:textId="77777777" w:rsidR="00FF734C" w:rsidRPr="007D669D" w:rsidRDefault="00FF734C" w:rsidP="007D669D">
            <w:pPr>
              <w:pStyle w:val="Table2"/>
              <w:ind w:left="0" w:firstLine="0"/>
            </w:pPr>
          </w:p>
          <w:p w14:paraId="727A8DEF" w14:textId="77777777" w:rsidR="00FF734C" w:rsidRPr="007D669D" w:rsidRDefault="00FF734C" w:rsidP="007D669D">
            <w:pPr>
              <w:pStyle w:val="Table2"/>
              <w:ind w:left="0" w:firstLine="0"/>
            </w:pPr>
          </w:p>
          <w:p w14:paraId="45F4B937" w14:textId="77777777" w:rsidR="00FF734C" w:rsidRPr="007D669D" w:rsidRDefault="00FF734C" w:rsidP="007D669D">
            <w:pPr>
              <w:pStyle w:val="Table2"/>
              <w:ind w:left="0" w:firstLine="0"/>
            </w:pPr>
          </w:p>
          <w:p w14:paraId="36A93248" w14:textId="77777777" w:rsidR="00FF734C" w:rsidRPr="007D669D" w:rsidRDefault="00FF734C" w:rsidP="007D669D">
            <w:pPr>
              <w:pStyle w:val="Table2"/>
              <w:ind w:left="0" w:firstLine="0"/>
            </w:pPr>
          </w:p>
          <w:p w14:paraId="5872446D" w14:textId="37E711F8" w:rsidR="00FF734C" w:rsidRPr="007D669D" w:rsidRDefault="00FF734C" w:rsidP="007D669D">
            <w:pPr>
              <w:pStyle w:val="Table2"/>
              <w:ind w:left="0" w:firstLine="0"/>
            </w:pPr>
            <w:r w:rsidRPr="007D669D">
              <w:t>Sub-populations are considered, and acute dietary risk is addressed</w:t>
            </w:r>
          </w:p>
          <w:p w14:paraId="32B7F472" w14:textId="77777777" w:rsidR="00FF734C" w:rsidRPr="007D669D" w:rsidRDefault="00FF734C" w:rsidP="007D669D">
            <w:pPr>
              <w:pStyle w:val="Table2"/>
              <w:ind w:left="0" w:firstLine="0"/>
            </w:pPr>
          </w:p>
          <w:p w14:paraId="19DA785F" w14:textId="77777777" w:rsidR="00FF734C" w:rsidRPr="007D669D" w:rsidRDefault="00FF734C" w:rsidP="007D669D">
            <w:pPr>
              <w:pStyle w:val="Table2"/>
              <w:ind w:left="0" w:firstLine="0"/>
            </w:pPr>
          </w:p>
          <w:p w14:paraId="6D488DC2" w14:textId="77777777" w:rsidR="00FF734C" w:rsidRPr="007D669D" w:rsidRDefault="00FF734C" w:rsidP="007D669D">
            <w:pPr>
              <w:pStyle w:val="Table2"/>
              <w:ind w:left="0" w:firstLine="0"/>
            </w:pPr>
          </w:p>
          <w:p w14:paraId="137333A1" w14:textId="77777777" w:rsidR="00FF734C" w:rsidRPr="007D669D" w:rsidRDefault="00FF734C" w:rsidP="007D669D">
            <w:pPr>
              <w:pStyle w:val="Table2"/>
              <w:ind w:left="0" w:firstLine="0"/>
            </w:pPr>
          </w:p>
          <w:p w14:paraId="50C1A796" w14:textId="77777777" w:rsidR="00FF734C" w:rsidRPr="007D669D" w:rsidRDefault="00FF734C" w:rsidP="007D669D">
            <w:pPr>
              <w:pStyle w:val="Table2"/>
              <w:ind w:left="0" w:firstLine="0"/>
            </w:pPr>
          </w:p>
          <w:p w14:paraId="31FA0C4E" w14:textId="4AADF2A8" w:rsidR="00FF734C" w:rsidRPr="007D669D" w:rsidRDefault="00FF734C" w:rsidP="007D669D">
            <w:pPr>
              <w:pStyle w:val="Table2"/>
              <w:ind w:left="0" w:firstLine="0"/>
            </w:pPr>
            <w:r w:rsidRPr="007D669D">
              <w:t>Dietary risk assessment is transparent</w:t>
            </w:r>
          </w:p>
          <w:p w14:paraId="60B6E81F" w14:textId="77777777" w:rsidR="00FF734C" w:rsidRPr="007D669D" w:rsidRDefault="00FF734C" w:rsidP="007D669D">
            <w:pPr>
              <w:pStyle w:val="Table2"/>
              <w:ind w:left="0" w:firstLine="0"/>
            </w:pPr>
          </w:p>
          <w:p w14:paraId="0E42F944" w14:textId="77777777" w:rsidR="00D05298" w:rsidRDefault="00D05298" w:rsidP="007D669D">
            <w:pPr>
              <w:pStyle w:val="Table2"/>
              <w:ind w:left="0" w:firstLine="0"/>
            </w:pPr>
          </w:p>
          <w:p w14:paraId="34D56611" w14:textId="77777777" w:rsidR="004A4DC2" w:rsidRPr="007D669D" w:rsidRDefault="004A4DC2" w:rsidP="007D669D">
            <w:pPr>
              <w:pStyle w:val="Table2"/>
              <w:ind w:left="0" w:firstLine="0"/>
            </w:pPr>
          </w:p>
          <w:p w14:paraId="7E38BCC2" w14:textId="46A4C4F2" w:rsidR="00FF734C" w:rsidRPr="007D669D" w:rsidRDefault="00FF734C" w:rsidP="007D669D">
            <w:pPr>
              <w:pStyle w:val="Table2"/>
              <w:ind w:left="0" w:firstLine="0"/>
            </w:pPr>
            <w:r w:rsidRPr="007D669D">
              <w:t>Temporary MRLs are not longer than 12 months</w:t>
            </w:r>
          </w:p>
          <w:p w14:paraId="0BFCB9B1" w14:textId="77777777" w:rsidR="00FF734C" w:rsidRPr="007D669D" w:rsidRDefault="00FF734C" w:rsidP="007D669D">
            <w:pPr>
              <w:pStyle w:val="Table2"/>
              <w:ind w:left="0" w:firstLine="0"/>
            </w:pPr>
          </w:p>
          <w:p w14:paraId="1A4AC27D" w14:textId="07172A60" w:rsidR="006E74BC" w:rsidRDefault="006E74BC" w:rsidP="00E754B3">
            <w:pPr>
              <w:pStyle w:val="Table2"/>
              <w:ind w:left="0" w:firstLine="0"/>
            </w:pPr>
          </w:p>
          <w:p w14:paraId="60A0778C" w14:textId="77777777" w:rsidR="004A4DC2" w:rsidRDefault="004A4DC2" w:rsidP="00E754B3">
            <w:pPr>
              <w:pStyle w:val="Table2"/>
              <w:ind w:left="0" w:firstLine="0"/>
            </w:pPr>
          </w:p>
          <w:p w14:paraId="0104A433" w14:textId="77777777" w:rsidR="004A4DC2" w:rsidRDefault="004A4DC2" w:rsidP="00E754B3">
            <w:pPr>
              <w:pStyle w:val="Table2"/>
              <w:ind w:left="0" w:firstLine="0"/>
            </w:pPr>
          </w:p>
          <w:p w14:paraId="20851E81" w14:textId="77777777" w:rsidR="004A4DC2" w:rsidRDefault="004A4DC2" w:rsidP="00E754B3">
            <w:pPr>
              <w:pStyle w:val="Table2"/>
              <w:ind w:left="0" w:firstLine="0"/>
            </w:pPr>
          </w:p>
          <w:p w14:paraId="7A672398" w14:textId="77777777" w:rsidR="004A4DC2" w:rsidRDefault="004A4DC2" w:rsidP="00E754B3">
            <w:pPr>
              <w:pStyle w:val="Table2"/>
              <w:ind w:left="0" w:firstLine="0"/>
            </w:pPr>
          </w:p>
          <w:p w14:paraId="3191D3FB" w14:textId="77777777" w:rsidR="004A4DC2" w:rsidRDefault="004A4DC2" w:rsidP="00E754B3">
            <w:pPr>
              <w:pStyle w:val="Table2"/>
              <w:ind w:left="0" w:firstLine="0"/>
            </w:pPr>
          </w:p>
          <w:p w14:paraId="5A21AB26" w14:textId="77777777" w:rsidR="004A4DC2" w:rsidRDefault="004A4DC2" w:rsidP="00E754B3">
            <w:pPr>
              <w:pStyle w:val="Table2"/>
              <w:ind w:left="0" w:firstLine="0"/>
            </w:pPr>
          </w:p>
          <w:p w14:paraId="41393CB8" w14:textId="77777777" w:rsidR="004A4DC2" w:rsidRDefault="004A4DC2" w:rsidP="00E754B3">
            <w:pPr>
              <w:pStyle w:val="Table2"/>
              <w:ind w:left="0" w:firstLine="0"/>
            </w:pPr>
          </w:p>
          <w:p w14:paraId="513A48D5" w14:textId="4BF1E77F" w:rsidR="00FF734C" w:rsidRPr="000F6CDF" w:rsidRDefault="00FF734C" w:rsidP="00E754B3">
            <w:pPr>
              <w:pStyle w:val="Table2"/>
              <w:ind w:left="0" w:firstLine="0"/>
              <w:rPr>
                <w:b w:val="0"/>
              </w:rPr>
            </w:pPr>
            <w:r w:rsidRPr="007D669D">
              <w:lastRenderedPageBreak/>
              <w:t>Involvement of the Meat Implementation Working</w:t>
            </w:r>
            <w:r w:rsidRPr="00FF734C">
              <w:rPr>
                <w:b w:val="0"/>
              </w:rPr>
              <w:t xml:space="preserve"> </w:t>
            </w:r>
            <w:r w:rsidRPr="00E754B3">
              <w:t>Group (MIWG)</w:t>
            </w:r>
          </w:p>
        </w:tc>
        <w:tc>
          <w:tcPr>
            <w:tcW w:w="2324" w:type="dxa"/>
            <w:tcBorders>
              <w:left w:val="none" w:sz="0" w:space="0" w:color="auto"/>
              <w:right w:val="none" w:sz="0" w:space="0" w:color="auto"/>
            </w:tcBorders>
          </w:tcPr>
          <w:p w14:paraId="4408FA8E" w14:textId="3F2F683F" w:rsidR="007A53BF" w:rsidRPr="000778D6" w:rsidRDefault="00BE0E1B" w:rsidP="00C07367">
            <w:pPr>
              <w:pStyle w:val="Table2"/>
              <w:cnfStyle w:val="000000010000" w:firstRow="0" w:lastRow="0" w:firstColumn="0" w:lastColumn="0" w:oddVBand="0" w:evenVBand="0" w:oddHBand="0" w:evenHBand="1" w:firstRowFirstColumn="0" w:firstRowLastColumn="0" w:lastRowFirstColumn="0" w:lastRowLastColumn="0"/>
            </w:pPr>
            <w:r>
              <w:lastRenderedPageBreak/>
              <w:t>Queensland Department of Agriculture and Fisheries (DAF), Safe Food Production Queensland (SFPQ) and Queensland Department of Health</w:t>
            </w:r>
            <w:r w:rsidR="00345C7A">
              <w:rPr>
                <w:rStyle w:val="FootnoteReference"/>
              </w:rPr>
              <w:footnoteReference w:id="5"/>
            </w:r>
            <w:r w:rsidR="006843BB">
              <w:t xml:space="preserve">. </w:t>
            </w:r>
          </w:p>
        </w:tc>
        <w:tc>
          <w:tcPr>
            <w:tcW w:w="3719" w:type="dxa"/>
            <w:tcBorders>
              <w:left w:val="none" w:sz="0" w:space="0" w:color="auto"/>
            </w:tcBorders>
          </w:tcPr>
          <w:p w14:paraId="77F01034" w14:textId="67EB3936" w:rsidR="007A53BF" w:rsidRDefault="00E52993" w:rsidP="00345C7A">
            <w:pPr>
              <w:pStyle w:val="Table2"/>
              <w:ind w:left="0" w:firstLine="0"/>
              <w:cnfStyle w:val="000000010000" w:firstRow="0" w:lastRow="0" w:firstColumn="0" w:lastColumn="0" w:oddVBand="0" w:evenVBand="0" w:oddHBand="0" w:evenHBand="1" w:firstRowFirstColumn="0" w:firstRowLastColumn="0" w:lastRowFirstColumn="0" w:lastRowLastColumn="0"/>
            </w:pPr>
            <w:r>
              <w:t>FSANZ determined that there are no public health and safety i</w:t>
            </w:r>
            <w:r w:rsidR="00640DA4">
              <w:t>ssues</w:t>
            </w:r>
            <w:r>
              <w:t xml:space="preserve"> associated with inclusion of the proposed </w:t>
            </w:r>
            <w:r w:rsidR="0046748D">
              <w:t xml:space="preserve">temporary </w:t>
            </w:r>
            <w:r>
              <w:t>MRL</w:t>
            </w:r>
            <w:r w:rsidR="0046748D">
              <w:t>s</w:t>
            </w:r>
            <w:r>
              <w:t xml:space="preserve">. </w:t>
            </w:r>
          </w:p>
          <w:p w14:paraId="4FAA8643" w14:textId="77777777" w:rsidR="00493268" w:rsidRDefault="00493268"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5217599A" w14:textId="77777777" w:rsidR="00493268" w:rsidRDefault="00493268"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64DA45E8" w14:textId="77777777" w:rsidR="00493268" w:rsidRDefault="00493268"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29CA682A" w14:textId="77777777" w:rsidR="00493268" w:rsidRDefault="00493268"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550ADB30" w14:textId="636253EE" w:rsidR="00493268" w:rsidRDefault="001F551A" w:rsidP="00345C7A">
            <w:pPr>
              <w:pStyle w:val="Table2"/>
              <w:ind w:left="0" w:firstLine="0"/>
              <w:cnfStyle w:val="000000010000" w:firstRow="0" w:lastRow="0" w:firstColumn="0" w:lastColumn="0" w:oddVBand="0" w:evenVBand="0" w:oddHBand="0" w:evenHBand="1" w:firstRowFirstColumn="0" w:firstRowLastColumn="0" w:lastRowFirstColumn="0" w:lastRowLastColumn="0"/>
            </w:pPr>
            <w:r>
              <w:lastRenderedPageBreak/>
              <w:t>These are the only cases of inadvertent residues arising f</w:t>
            </w:r>
            <w:r w:rsidR="00956617">
              <w:t>rom the use of rodenticides of which FSANZ is aware</w:t>
            </w:r>
            <w:r>
              <w:t>.</w:t>
            </w:r>
            <w:r w:rsidRPr="00493268">
              <w:t xml:space="preserve"> </w:t>
            </w:r>
            <w:r w:rsidR="00493268" w:rsidRPr="00493268">
              <w:t>FSANZ is considering management of low level MRLs</w:t>
            </w:r>
            <w:r w:rsidR="00750723">
              <w:t xml:space="preserve"> only</w:t>
            </w:r>
            <w:r w:rsidR="00493268" w:rsidRPr="00493268">
              <w:t xml:space="preserve"> </w:t>
            </w:r>
            <w:r>
              <w:t>for chemicals that are</w:t>
            </w:r>
            <w:r w:rsidR="00750723">
              <w:t xml:space="preserve"> </w:t>
            </w:r>
            <w:r>
              <w:t xml:space="preserve">currently listed </w:t>
            </w:r>
            <w:r w:rsidR="00E10EE2">
              <w:t xml:space="preserve">in </w:t>
            </w:r>
            <w:r>
              <w:t xml:space="preserve">Standard 1.4.2 </w:t>
            </w:r>
            <w:r w:rsidR="00493268" w:rsidRPr="00493268">
              <w:t>though P1027</w:t>
            </w:r>
            <w:r w:rsidR="00E10EE2">
              <w:t xml:space="preserve">. </w:t>
            </w:r>
            <w:r>
              <w:t xml:space="preserve">Rodenticides </w:t>
            </w:r>
            <w:r w:rsidR="00493268" w:rsidRPr="00493268">
              <w:t xml:space="preserve">are not within the scope of </w:t>
            </w:r>
            <w:r>
              <w:t xml:space="preserve">P1027 </w:t>
            </w:r>
            <w:r w:rsidR="00493268" w:rsidRPr="00493268">
              <w:t>as they are not currently listed in Standard 1.4.2.</w:t>
            </w:r>
          </w:p>
          <w:p w14:paraId="5C372907" w14:textId="77777777" w:rsidR="00493268" w:rsidRDefault="00493268"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596C3975" w14:textId="59719932" w:rsidR="00493268" w:rsidRDefault="00493268" w:rsidP="00345C7A">
            <w:pPr>
              <w:pStyle w:val="Table2"/>
              <w:ind w:left="0" w:firstLine="0"/>
              <w:cnfStyle w:val="000000010000" w:firstRow="0" w:lastRow="0" w:firstColumn="0" w:lastColumn="0" w:oddVBand="0" w:evenVBand="0" w:oddHBand="0" w:evenHBand="1" w:firstRowFirstColumn="0" w:firstRowLastColumn="0" w:lastRowFirstColumn="0" w:lastRowLastColumn="0"/>
            </w:pPr>
            <w:r w:rsidRPr="00493268">
              <w:t xml:space="preserve">Standard 1.4.2 is not a control-of-use standard. </w:t>
            </w:r>
            <w:r w:rsidR="00D50421">
              <w:t>Control of use is managed through the APVMA</w:t>
            </w:r>
            <w:r w:rsidR="00640DA4">
              <w:t xml:space="preserve"> MRL Standard</w:t>
            </w:r>
            <w:r w:rsidR="00D50421">
              <w:t xml:space="preserve">. </w:t>
            </w:r>
            <w:r w:rsidR="00F33EDB">
              <w:t>T</w:t>
            </w:r>
            <w:r w:rsidR="00E10EE2">
              <w:t xml:space="preserve">his proposal is intended to align residues with the APVMA </w:t>
            </w:r>
            <w:r w:rsidR="00A15E68">
              <w:t xml:space="preserve">temporary </w:t>
            </w:r>
            <w:r w:rsidR="00E10EE2">
              <w:t>provisions</w:t>
            </w:r>
            <w:r w:rsidR="00A15E68">
              <w:t xml:space="preserve"> for relevant foods inadvertently containing legitimate residues of </w:t>
            </w:r>
            <w:r w:rsidR="00F33EDB">
              <w:t xml:space="preserve">coumatetralyl and warfarin </w:t>
            </w:r>
            <w:r w:rsidR="00A15E68">
              <w:t>that do not present any health and safety concerns. It</w:t>
            </w:r>
            <w:r w:rsidRPr="00493268">
              <w:t xml:space="preserve"> is understood that the chemical products containing coumatetralyl and warfarin have been used according to label directions.</w:t>
            </w:r>
          </w:p>
          <w:p w14:paraId="1C52AA68" w14:textId="77777777" w:rsidR="00493268" w:rsidRDefault="00493268"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13FAD02C" w14:textId="2708D618" w:rsidR="00493268" w:rsidRDefault="00493268" w:rsidP="00345C7A">
            <w:pPr>
              <w:pStyle w:val="Table2"/>
              <w:ind w:left="0" w:firstLine="0"/>
              <w:cnfStyle w:val="000000010000" w:firstRow="0" w:lastRow="0" w:firstColumn="0" w:lastColumn="0" w:oddVBand="0" w:evenVBand="0" w:oddHBand="0" w:evenHBand="1" w:firstRowFirstColumn="0" w:firstRowLastColumn="0" w:lastRowFirstColumn="0" w:lastRowLastColumn="0"/>
            </w:pPr>
            <w:r w:rsidRPr="00493268">
              <w:t>FSANZ conducts and reviews DEAs for MRLs using the best available scientific data and internationally recognised risk assessment methodologies</w:t>
            </w:r>
            <w:r w:rsidR="000F6CDF">
              <w:rPr>
                <w:rStyle w:val="FootnoteReference"/>
              </w:rPr>
              <w:footnoteReference w:id="6"/>
            </w:r>
            <w:r w:rsidRPr="00493268">
              <w:t xml:space="preserve">. These are set out in detail in Section 5.4 of the FSANZ document </w:t>
            </w:r>
            <w:r w:rsidRPr="000F6CDF">
              <w:rPr>
                <w:i/>
              </w:rPr>
              <w:t>Principles and Practice of Dietary Exposure Assessment for Food Regulatory Purposes</w:t>
            </w:r>
            <w:r w:rsidR="000F6CDF">
              <w:rPr>
                <w:rStyle w:val="FootnoteReference"/>
                <w:i/>
              </w:rPr>
              <w:footnoteReference w:id="7"/>
            </w:r>
            <w:r w:rsidRPr="00493268">
              <w:t>.</w:t>
            </w:r>
          </w:p>
          <w:p w14:paraId="01BB825F" w14:textId="77777777" w:rsidR="00FF734C" w:rsidRDefault="00FF734C"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785FC4A7" w14:textId="4A481CF5" w:rsidR="00FF734C" w:rsidRDefault="00FF734C" w:rsidP="00345C7A">
            <w:pPr>
              <w:pStyle w:val="Table2"/>
              <w:ind w:left="0" w:firstLine="0"/>
              <w:cnfStyle w:val="000000010000" w:firstRow="0" w:lastRow="0" w:firstColumn="0" w:lastColumn="0" w:oddVBand="0" w:evenVBand="0" w:oddHBand="0" w:evenHBand="1" w:firstRowFirstColumn="0" w:firstRowLastColumn="0" w:lastRowFirstColumn="0" w:lastRowLastColumn="0"/>
            </w:pPr>
            <w:r w:rsidRPr="00FF734C">
              <w:t xml:space="preserve">The </w:t>
            </w:r>
            <w:r w:rsidR="00394B49">
              <w:t>HBGVs</w:t>
            </w:r>
            <w:r w:rsidRPr="00FF734C">
              <w:t xml:space="preserve"> take into consideration all sub-populations that may be adversely affected. An acute DEA using an </w:t>
            </w:r>
            <w:r w:rsidR="000F6CDF">
              <w:t>acute reference dose (</w:t>
            </w:r>
            <w:r w:rsidRPr="00FF734C">
              <w:t>ARfD</w:t>
            </w:r>
            <w:r w:rsidR="000F6CDF">
              <w:t>)</w:t>
            </w:r>
            <w:r w:rsidRPr="00FF734C">
              <w:t xml:space="preserve"> is not considered necessary to assess coumatetralyl or warfarin as no acute hazard has been identified for either rodenticide.</w:t>
            </w:r>
          </w:p>
          <w:p w14:paraId="5881BCF1" w14:textId="77777777" w:rsidR="00640DA4" w:rsidRDefault="00640DA4"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17516458" w14:textId="1D4F40F4" w:rsidR="00FF734C" w:rsidRDefault="00FF734C" w:rsidP="00345C7A">
            <w:pPr>
              <w:pStyle w:val="Table2"/>
              <w:ind w:left="0" w:firstLine="0"/>
              <w:cnfStyle w:val="000000010000" w:firstRow="0" w:lastRow="0" w:firstColumn="0" w:lastColumn="0" w:oddVBand="0" w:evenVBand="0" w:oddHBand="0" w:evenHBand="1" w:firstRowFirstColumn="0" w:firstRowLastColumn="0" w:lastRowFirstColumn="0" w:lastRowLastColumn="0"/>
            </w:pPr>
            <w:r w:rsidRPr="00FF734C">
              <w:t>The mean and 90</w:t>
            </w:r>
            <w:r w:rsidRPr="000F6CDF">
              <w:rPr>
                <w:vertAlign w:val="superscript"/>
              </w:rPr>
              <w:t>th</w:t>
            </w:r>
            <w:r w:rsidRPr="00FF734C">
              <w:t xml:space="preserve"> percentile estimated dietary exposures to coumatetralyl and warfarin </w:t>
            </w:r>
            <w:r w:rsidR="00394F2B">
              <w:t xml:space="preserve">for general population </w:t>
            </w:r>
            <w:r w:rsidRPr="00FF734C">
              <w:t xml:space="preserve">are provided in </w:t>
            </w:r>
            <w:r w:rsidRPr="000F6CDF">
              <w:rPr>
                <w:b/>
              </w:rPr>
              <w:t xml:space="preserve">Table </w:t>
            </w:r>
            <w:r w:rsidR="00A52C46">
              <w:rPr>
                <w:b/>
              </w:rPr>
              <w:t>2</w:t>
            </w:r>
            <w:r w:rsidRPr="00FF734C">
              <w:t>.</w:t>
            </w:r>
          </w:p>
          <w:p w14:paraId="4EDB8C1A" w14:textId="77777777" w:rsidR="00FF734C" w:rsidRDefault="00FF734C"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7CCC9A38" w14:textId="112D0A1B" w:rsidR="00FF734C" w:rsidRPr="00FF734C" w:rsidRDefault="00FF734C" w:rsidP="00FF734C">
            <w:pPr>
              <w:pStyle w:val="Table2"/>
              <w:ind w:left="0" w:firstLine="0"/>
              <w:cnfStyle w:val="000000010000" w:firstRow="0" w:lastRow="0" w:firstColumn="0" w:lastColumn="0" w:oddVBand="0" w:evenVBand="0" w:oddHBand="0" w:evenHBand="1" w:firstRowFirstColumn="0" w:firstRowLastColumn="0" w:lastRowFirstColumn="0" w:lastRowLastColumn="0"/>
            </w:pPr>
            <w:r w:rsidRPr="00FF734C">
              <w:t xml:space="preserve">The MRLs </w:t>
            </w:r>
            <w:r w:rsidR="0046748D">
              <w:t xml:space="preserve">for </w:t>
            </w:r>
            <w:r w:rsidR="0046748D" w:rsidRPr="00FF734C">
              <w:t xml:space="preserve">coumatetralyl and warfarin </w:t>
            </w:r>
            <w:r w:rsidR="0046748D">
              <w:t xml:space="preserve">in pork commodities </w:t>
            </w:r>
            <w:r w:rsidRPr="00FF734C">
              <w:t xml:space="preserve">in the APVMA MRL Standard are temporary and will be reviewed by the APVMA in 2016. FSANZ will amend the MRLs in Standard 1.4.2 in light of the APVMA’s review. </w:t>
            </w:r>
          </w:p>
          <w:p w14:paraId="5FB1A34C" w14:textId="77777777" w:rsidR="00FF734C" w:rsidRDefault="00FF734C"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53945C4A" w14:textId="60E436F0" w:rsidR="004A4DC2" w:rsidRDefault="004A4DC2"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3D04169C" w14:textId="77777777" w:rsidR="004A4DC2" w:rsidRDefault="004A4DC2"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1C117BE7" w14:textId="77777777" w:rsidR="004A4DC2" w:rsidRDefault="004A4DC2"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08F4EEA9" w14:textId="77777777" w:rsidR="004A4DC2" w:rsidRDefault="004A4DC2" w:rsidP="00345C7A">
            <w:pPr>
              <w:pStyle w:val="Table2"/>
              <w:ind w:left="0" w:firstLine="0"/>
              <w:cnfStyle w:val="000000010000" w:firstRow="0" w:lastRow="0" w:firstColumn="0" w:lastColumn="0" w:oddVBand="0" w:evenVBand="0" w:oddHBand="0" w:evenHBand="1" w:firstRowFirstColumn="0" w:firstRowLastColumn="0" w:lastRowFirstColumn="0" w:lastRowLastColumn="0"/>
            </w:pPr>
          </w:p>
          <w:p w14:paraId="4C143537" w14:textId="3CFC5E68" w:rsidR="00FF734C" w:rsidRDefault="00FF734C" w:rsidP="00345C7A">
            <w:pPr>
              <w:pStyle w:val="Table2"/>
              <w:ind w:left="0" w:firstLine="0"/>
              <w:cnfStyle w:val="000000010000" w:firstRow="0" w:lastRow="0" w:firstColumn="0" w:lastColumn="0" w:oddVBand="0" w:evenVBand="0" w:oddHBand="0" w:evenHBand="1" w:firstRowFirstColumn="0" w:firstRowLastColumn="0" w:lastRowFirstColumn="0" w:lastRowLastColumn="0"/>
            </w:pPr>
            <w:r w:rsidRPr="00FF734C">
              <w:lastRenderedPageBreak/>
              <w:t>State and federal government agencies are currently working with industry to minimise any residues of coumatetralyl and warfarin in food and to ensure that the use of rodenticides in and around piggeries remains appropriate. The MIWG ha</w:t>
            </w:r>
            <w:r w:rsidR="00640DA4">
              <w:t>s</w:t>
            </w:r>
            <w:r w:rsidRPr="00FF734C">
              <w:t xml:space="preserve"> introduced guidance including a clearance protocol for piggeries affected by rodenticides. This guidance will assist managing the release for sale of any pork commodities containing trace amounts of coumatetralyl or warfarin. </w:t>
            </w:r>
          </w:p>
          <w:p w14:paraId="2780F7FF" w14:textId="2883442F" w:rsidR="00FF734C" w:rsidRPr="000778D6" w:rsidRDefault="00FF734C" w:rsidP="00345C7A">
            <w:pPr>
              <w:pStyle w:val="Table2"/>
              <w:ind w:left="0" w:firstLine="0"/>
              <w:cnfStyle w:val="000000010000" w:firstRow="0" w:lastRow="0" w:firstColumn="0" w:lastColumn="0" w:oddVBand="0" w:evenVBand="0" w:oddHBand="0" w:evenHBand="1" w:firstRowFirstColumn="0" w:firstRowLastColumn="0" w:lastRowFirstColumn="0" w:lastRowLastColumn="0"/>
            </w:pPr>
          </w:p>
        </w:tc>
      </w:tr>
    </w:tbl>
    <w:p w14:paraId="358F95B8" w14:textId="23ECC460" w:rsidR="002C1A3B" w:rsidRPr="00932F14" w:rsidRDefault="002C1A3B" w:rsidP="00E754B3">
      <w:pPr>
        <w:pStyle w:val="Heading2"/>
      </w:pPr>
      <w:bookmarkStart w:id="48" w:name="_Toc370223472"/>
      <w:bookmarkStart w:id="49" w:name="_Toc370225387"/>
      <w:bookmarkStart w:id="50" w:name="_Toc309291812"/>
      <w:bookmarkStart w:id="51" w:name="_Toc175381442"/>
      <w:bookmarkStart w:id="52" w:name="_Toc427156663"/>
      <w:bookmarkEnd w:id="41"/>
      <w:bookmarkEnd w:id="42"/>
      <w:bookmarkEnd w:id="43"/>
      <w:bookmarkEnd w:id="44"/>
      <w:bookmarkEnd w:id="45"/>
      <w:bookmarkEnd w:id="46"/>
      <w:r>
        <w:lastRenderedPageBreak/>
        <w:t>2.2</w:t>
      </w:r>
      <w:r>
        <w:tab/>
      </w:r>
      <w:r w:rsidRPr="00932F14">
        <w:t xml:space="preserve">Risk </w:t>
      </w:r>
      <w:r>
        <w:t>a</w:t>
      </w:r>
      <w:r w:rsidRPr="00932F14">
        <w:t>ssessment</w:t>
      </w:r>
      <w:bookmarkEnd w:id="48"/>
      <w:bookmarkEnd w:id="49"/>
      <w:bookmarkEnd w:id="52"/>
      <w:r w:rsidRPr="00932F14">
        <w:t xml:space="preserve"> </w:t>
      </w:r>
    </w:p>
    <w:p w14:paraId="37AA5B57" w14:textId="2618B019" w:rsidR="00007C40" w:rsidRDefault="00657640" w:rsidP="00657640">
      <w:r w:rsidRPr="00495694">
        <w:t xml:space="preserve">To assess the public health and safety implications of </w:t>
      </w:r>
      <w:r w:rsidR="00B5774F">
        <w:t>agvet chemical</w:t>
      </w:r>
      <w:r w:rsidRPr="00495694">
        <w:t xml:space="preserve"> residues in food, FSANZ </w:t>
      </w:r>
      <w:r w:rsidR="0046748D">
        <w:t xml:space="preserve">estimates </w:t>
      </w:r>
      <w:r w:rsidRPr="00495694">
        <w:t xml:space="preserve">the dietary exposure and </w:t>
      </w:r>
      <w:r w:rsidRPr="00532686">
        <w:t xml:space="preserve">compares </w:t>
      </w:r>
      <w:r w:rsidR="00C76500">
        <w:t xml:space="preserve">it against </w:t>
      </w:r>
      <w:r w:rsidRPr="00532686">
        <w:t>the relevant HBGV</w:t>
      </w:r>
      <w:r>
        <w:t>.</w:t>
      </w:r>
      <w:r w:rsidR="00007C40">
        <w:t xml:space="preserve"> The HBGVs reflect the level of a</w:t>
      </w:r>
      <w:r w:rsidR="009B7EF0">
        <w:t>n</w:t>
      </w:r>
      <w:r w:rsidR="00007C40">
        <w:t xml:space="preserve"> </w:t>
      </w:r>
      <w:r w:rsidR="00B5774F">
        <w:t xml:space="preserve">agvet </w:t>
      </w:r>
      <w:r w:rsidR="00007C40">
        <w:t>chemical that can be ingested over a defined time period without appreciable</w:t>
      </w:r>
      <w:r w:rsidR="004E41A3">
        <w:t xml:space="preserve"> health</w:t>
      </w:r>
      <w:r w:rsidR="00007C40">
        <w:t xml:space="preserve"> risk</w:t>
      </w:r>
      <w:r w:rsidR="000250DB">
        <w:t xml:space="preserve">. </w:t>
      </w:r>
      <w:r>
        <w:t>Commonly used HBGVs are</w:t>
      </w:r>
      <w:r w:rsidRPr="00532686">
        <w:t xml:space="preserve"> the acceptable daily intake (ADI)</w:t>
      </w:r>
      <w:r>
        <w:t xml:space="preserve">, </w:t>
      </w:r>
      <w:r w:rsidRPr="00532686">
        <w:t>ARfD</w:t>
      </w:r>
      <w:r>
        <w:t xml:space="preserve"> </w:t>
      </w:r>
      <w:r w:rsidR="00457111">
        <w:t>and</w:t>
      </w:r>
      <w:r>
        <w:t xml:space="preserve"> the TDI</w:t>
      </w:r>
      <w:r w:rsidRPr="00532686">
        <w:t>.</w:t>
      </w:r>
      <w:r w:rsidRPr="001D5BBC">
        <w:t xml:space="preserve"> </w:t>
      </w:r>
    </w:p>
    <w:p w14:paraId="296459E2" w14:textId="77777777" w:rsidR="00007C40" w:rsidRDefault="00007C40" w:rsidP="00657640"/>
    <w:p w14:paraId="25C3BDAE" w14:textId="6D468A5C" w:rsidR="00657640" w:rsidRDefault="00657640" w:rsidP="00657640">
      <w:r w:rsidRPr="001D5BBC">
        <w:t xml:space="preserve">An ADI is usually only </w:t>
      </w:r>
      <w:r>
        <w:t>established</w:t>
      </w:r>
      <w:r w:rsidRPr="001D5BBC">
        <w:t xml:space="preserve"> for </w:t>
      </w:r>
      <w:r w:rsidR="00B5774F">
        <w:t xml:space="preserve">agvet chemicals </w:t>
      </w:r>
      <w:r w:rsidRPr="001D5BBC">
        <w:t xml:space="preserve">which are </w:t>
      </w:r>
      <w:r>
        <w:t xml:space="preserve">intentionally </w:t>
      </w:r>
      <w:r w:rsidRPr="001D5BBC">
        <w:t xml:space="preserve">used </w:t>
      </w:r>
      <w:r>
        <w:t>i</w:t>
      </w:r>
      <w:r w:rsidRPr="001D5BBC">
        <w:t>n food producing crops</w:t>
      </w:r>
      <w:r>
        <w:t>, animals</w:t>
      </w:r>
      <w:r w:rsidRPr="001D5BBC">
        <w:t xml:space="preserve"> or crops </w:t>
      </w:r>
      <w:r w:rsidRPr="00EE4C0A">
        <w:t>used for stock feed.</w:t>
      </w:r>
      <w:r w:rsidR="00EE4C0A" w:rsidRPr="00EE4C0A">
        <w:t xml:space="preserve"> As rodenticides are not intentionally</w:t>
      </w:r>
      <w:r w:rsidR="00BD6F68">
        <w:t xml:space="preserve"> </w:t>
      </w:r>
      <w:r w:rsidR="00C76500">
        <w:t xml:space="preserve">administered to </w:t>
      </w:r>
      <w:r w:rsidR="00BD6F68">
        <w:t xml:space="preserve">food producing </w:t>
      </w:r>
      <w:r w:rsidR="00C76500">
        <w:t>animals</w:t>
      </w:r>
      <w:r w:rsidR="00BD6F68">
        <w:t xml:space="preserve">, a TDI is </w:t>
      </w:r>
      <w:r w:rsidR="00EE4C0A" w:rsidRPr="00EE4C0A">
        <w:t>considered</w:t>
      </w:r>
      <w:r w:rsidR="00250896">
        <w:t xml:space="preserve"> to be the</w:t>
      </w:r>
      <w:r w:rsidR="00EE4C0A" w:rsidRPr="00EE4C0A">
        <w:t xml:space="preserve"> appropriate </w:t>
      </w:r>
      <w:r w:rsidR="00250896">
        <w:t xml:space="preserve">HBGV </w:t>
      </w:r>
      <w:r w:rsidR="00BD6F68">
        <w:t xml:space="preserve">for </w:t>
      </w:r>
      <w:r w:rsidR="00C76500">
        <w:t>the</w:t>
      </w:r>
      <w:r w:rsidR="00EE4C0A" w:rsidRPr="00EE4C0A">
        <w:t xml:space="preserve"> </w:t>
      </w:r>
      <w:r w:rsidR="00250896">
        <w:t>DEA</w:t>
      </w:r>
      <w:r w:rsidR="00416562">
        <w:t xml:space="preserve"> </w:t>
      </w:r>
      <w:r w:rsidR="00EE4C0A" w:rsidRPr="00EE4C0A">
        <w:t xml:space="preserve">for </w:t>
      </w:r>
      <w:r w:rsidR="00250896">
        <w:t>both coumatetralyl and warfarin.</w:t>
      </w:r>
      <w:r>
        <w:t xml:space="preserve"> </w:t>
      </w:r>
    </w:p>
    <w:p w14:paraId="36CB4591" w14:textId="64432BF1" w:rsidR="00EE4C0A" w:rsidRPr="000250DB" w:rsidRDefault="00EE4C0A" w:rsidP="00657640">
      <w:pPr>
        <w:pStyle w:val="Default"/>
        <w:rPr>
          <w:rFonts w:ascii="Arial" w:hAnsi="Arial" w:cs="Arial"/>
          <w:color w:val="auto"/>
          <w:sz w:val="22"/>
          <w:szCs w:val="22"/>
          <w:highlight w:val="yellow"/>
        </w:rPr>
      </w:pPr>
    </w:p>
    <w:p w14:paraId="680A0B64" w14:textId="4636DD3D" w:rsidR="00657640" w:rsidRPr="001E3959" w:rsidRDefault="00657640" w:rsidP="00657640">
      <w:pPr>
        <w:pStyle w:val="Default"/>
        <w:rPr>
          <w:rFonts w:ascii="Arial" w:hAnsi="Arial" w:cs="Arial"/>
          <w:sz w:val="22"/>
          <w:szCs w:val="22"/>
        </w:rPr>
      </w:pPr>
      <w:r w:rsidRPr="000250DB">
        <w:rPr>
          <w:rFonts w:ascii="Arial" w:hAnsi="Arial" w:cs="Arial"/>
          <w:sz w:val="22"/>
          <w:szCs w:val="22"/>
        </w:rPr>
        <w:t>FSANZ conducts and reviews DEAs for MRLs using the best available scientific data and internationally recognised risk assessment methodolog</w:t>
      </w:r>
      <w:r w:rsidR="004D0516" w:rsidRPr="000250DB">
        <w:rPr>
          <w:rFonts w:ascii="Arial" w:hAnsi="Arial" w:cs="Arial"/>
          <w:sz w:val="22"/>
          <w:szCs w:val="22"/>
        </w:rPr>
        <w:t>ies</w:t>
      </w:r>
      <w:r w:rsidR="00CF5EBD" w:rsidRPr="005A0DDE">
        <w:rPr>
          <w:vertAlign w:val="superscript"/>
        </w:rPr>
        <w:t>6</w:t>
      </w:r>
      <w:r w:rsidR="00A43978">
        <w:rPr>
          <w:rFonts w:ascii="Arial" w:hAnsi="Arial" w:cs="Arial"/>
          <w:sz w:val="22"/>
          <w:szCs w:val="22"/>
        </w:rPr>
        <w:t>.</w:t>
      </w:r>
      <w:r w:rsidR="00D5077F" w:rsidRPr="000250DB">
        <w:rPr>
          <w:rFonts w:ascii="Arial" w:hAnsi="Arial" w:cs="Arial"/>
          <w:sz w:val="22"/>
          <w:szCs w:val="22"/>
        </w:rPr>
        <w:t xml:space="preserve"> </w:t>
      </w:r>
      <w:r w:rsidRPr="000250DB">
        <w:rPr>
          <w:rFonts w:ascii="Arial" w:hAnsi="Arial" w:cs="Arial"/>
          <w:sz w:val="22"/>
          <w:szCs w:val="22"/>
        </w:rPr>
        <w:t>Variations</w:t>
      </w:r>
      <w:r w:rsidRPr="001E3959">
        <w:rPr>
          <w:rFonts w:ascii="Arial" w:hAnsi="Arial" w:cs="Arial"/>
          <w:sz w:val="22"/>
          <w:szCs w:val="22"/>
        </w:rPr>
        <w:t xml:space="preserve"> to MRLs in the Code will not be supported where estimated dietary exposures to the residues of a chemical indicate a potential public health and safety risk for the population or a population sub group.</w:t>
      </w:r>
    </w:p>
    <w:p w14:paraId="6463D6BD" w14:textId="77777777" w:rsidR="00657640" w:rsidRPr="001E3959" w:rsidRDefault="00657640" w:rsidP="00657640">
      <w:pPr>
        <w:pStyle w:val="Default"/>
        <w:rPr>
          <w:rFonts w:ascii="Arial" w:hAnsi="Arial" w:cs="Arial"/>
          <w:sz w:val="22"/>
          <w:szCs w:val="22"/>
        </w:rPr>
      </w:pPr>
    </w:p>
    <w:p w14:paraId="65320193" w14:textId="03DF3886" w:rsidR="00657640" w:rsidRPr="001E3959" w:rsidRDefault="00657640" w:rsidP="00657640">
      <w:pPr>
        <w:pStyle w:val="Default"/>
        <w:rPr>
          <w:rFonts w:ascii="Arial" w:hAnsi="Arial" w:cs="Arial"/>
          <w:sz w:val="22"/>
          <w:szCs w:val="22"/>
        </w:rPr>
      </w:pPr>
      <w:r w:rsidRPr="001E3959">
        <w:rPr>
          <w:rFonts w:ascii="Arial" w:hAnsi="Arial" w:cs="Arial"/>
          <w:sz w:val="22"/>
          <w:szCs w:val="22"/>
        </w:rPr>
        <w:t xml:space="preserve">The steps undertaken in conducting a DEA </w:t>
      </w:r>
      <w:r w:rsidR="00050263">
        <w:rPr>
          <w:rFonts w:ascii="Arial" w:hAnsi="Arial" w:cs="Arial"/>
          <w:sz w:val="22"/>
          <w:szCs w:val="22"/>
        </w:rPr>
        <w:t>for a chemical that is n</w:t>
      </w:r>
      <w:r w:rsidR="00DE10D7">
        <w:rPr>
          <w:rFonts w:ascii="Arial" w:hAnsi="Arial" w:cs="Arial"/>
          <w:sz w:val="22"/>
          <w:szCs w:val="22"/>
        </w:rPr>
        <w:t>ot</w:t>
      </w:r>
      <w:r w:rsidR="00050263">
        <w:rPr>
          <w:rFonts w:ascii="Arial" w:hAnsi="Arial" w:cs="Arial"/>
          <w:sz w:val="22"/>
          <w:szCs w:val="22"/>
        </w:rPr>
        <w:t xml:space="preserve"> intentionally used </w:t>
      </w:r>
      <w:r w:rsidRPr="001E3959">
        <w:rPr>
          <w:rFonts w:ascii="Arial" w:hAnsi="Arial" w:cs="Arial"/>
          <w:sz w:val="22"/>
          <w:szCs w:val="22"/>
        </w:rPr>
        <w:t>are:</w:t>
      </w:r>
    </w:p>
    <w:p w14:paraId="4A735A57" w14:textId="77777777" w:rsidR="00657640" w:rsidRPr="007B5561" w:rsidRDefault="00657640" w:rsidP="00657640">
      <w:pPr>
        <w:pStyle w:val="Default"/>
        <w:rPr>
          <w:rFonts w:ascii="Arial" w:hAnsi="Arial" w:cs="Arial"/>
          <w:sz w:val="22"/>
          <w:szCs w:val="22"/>
        </w:rPr>
      </w:pPr>
    </w:p>
    <w:p w14:paraId="465D91B3" w14:textId="203DFE85" w:rsidR="00657640" w:rsidRDefault="00657640" w:rsidP="00E754B3">
      <w:pPr>
        <w:pStyle w:val="FSBullet1"/>
        <w:numPr>
          <w:ilvl w:val="0"/>
          <w:numId w:val="5"/>
        </w:numPr>
        <w:ind w:left="567" w:hanging="567"/>
      </w:pPr>
      <w:r>
        <w:t xml:space="preserve">determining the residues of a chemical in </w:t>
      </w:r>
      <w:r w:rsidR="0046748D">
        <w:t>food</w:t>
      </w:r>
      <w:r w:rsidR="00DE10D7">
        <w:t>s</w:t>
      </w:r>
      <w:r w:rsidR="0046748D">
        <w:t xml:space="preserve"> of interest</w:t>
      </w:r>
    </w:p>
    <w:p w14:paraId="0EAB4E8E" w14:textId="77777777" w:rsidR="00657640" w:rsidRDefault="00657640" w:rsidP="00E754B3">
      <w:pPr>
        <w:pStyle w:val="FSBullet1"/>
        <w:numPr>
          <w:ilvl w:val="0"/>
          <w:numId w:val="5"/>
        </w:numPr>
        <w:ind w:left="567" w:hanging="567"/>
      </w:pPr>
      <w:r>
        <w:t>calculating dietary exposure to a chemical from relevant foods, using residue data and food consumption data from Australian national nutrition surveys</w:t>
      </w:r>
    </w:p>
    <w:p w14:paraId="5CF15ED9" w14:textId="77777777" w:rsidR="00657640" w:rsidRDefault="00657640" w:rsidP="00E754B3">
      <w:pPr>
        <w:pStyle w:val="FSBullet1"/>
        <w:numPr>
          <w:ilvl w:val="0"/>
          <w:numId w:val="5"/>
        </w:numPr>
        <w:ind w:left="567" w:hanging="567"/>
      </w:pPr>
      <w:r>
        <w:t>completing a risk characterisation where estimated dietary exposures are compared to the relevant HBGV.</w:t>
      </w:r>
    </w:p>
    <w:p w14:paraId="32D08CB1" w14:textId="77777777" w:rsidR="00657640" w:rsidRDefault="00657640" w:rsidP="00657640">
      <w:pPr>
        <w:pStyle w:val="Default"/>
        <w:rPr>
          <w:rFonts w:ascii="Arial" w:hAnsi="Arial" w:cs="Arial"/>
          <w:sz w:val="22"/>
          <w:szCs w:val="22"/>
        </w:rPr>
      </w:pPr>
    </w:p>
    <w:p w14:paraId="2129169F" w14:textId="77777777" w:rsidR="00640DA4" w:rsidRPr="007B5561" w:rsidRDefault="00640DA4" w:rsidP="00657640">
      <w:pPr>
        <w:pStyle w:val="Default"/>
        <w:rPr>
          <w:rFonts w:ascii="Arial" w:hAnsi="Arial" w:cs="Arial"/>
          <w:sz w:val="22"/>
          <w:szCs w:val="22"/>
        </w:rPr>
      </w:pPr>
    </w:p>
    <w:p w14:paraId="7ECC736E" w14:textId="374907A0" w:rsidR="00657640" w:rsidRPr="00657640" w:rsidRDefault="00657640" w:rsidP="00657640">
      <w:r w:rsidRPr="00997566">
        <w:t xml:space="preserve">FSANZ has used </w:t>
      </w:r>
      <w:r>
        <w:t xml:space="preserve">a </w:t>
      </w:r>
      <w:r w:rsidRPr="00997566">
        <w:t xml:space="preserve">standard chronic </w:t>
      </w:r>
      <w:r>
        <w:t>DEA</w:t>
      </w:r>
      <w:r w:rsidRPr="00997566">
        <w:t xml:space="preserve"> methodology</w:t>
      </w:r>
      <w:r>
        <w:t xml:space="preserve"> to assess the safety of </w:t>
      </w:r>
      <w:r w:rsidR="0073417E">
        <w:t xml:space="preserve">these </w:t>
      </w:r>
      <w:r>
        <w:t xml:space="preserve">residues in food. </w:t>
      </w:r>
      <w:r w:rsidRPr="004E0776">
        <w:rPr>
          <w:szCs w:val="22"/>
        </w:rPr>
        <w:t xml:space="preserve">The </w:t>
      </w:r>
      <w:r>
        <w:rPr>
          <w:szCs w:val="22"/>
        </w:rPr>
        <w:t>DEA</w:t>
      </w:r>
      <w:r w:rsidRPr="004E0776">
        <w:rPr>
          <w:szCs w:val="22"/>
        </w:rPr>
        <w:t xml:space="preserve"> used </w:t>
      </w:r>
      <w:r>
        <w:rPr>
          <w:szCs w:val="22"/>
        </w:rPr>
        <w:t xml:space="preserve">the </w:t>
      </w:r>
      <w:r w:rsidR="00DE10D7">
        <w:rPr>
          <w:szCs w:val="22"/>
        </w:rPr>
        <w:t xml:space="preserve">temporary </w:t>
      </w:r>
      <w:r>
        <w:rPr>
          <w:szCs w:val="22"/>
        </w:rPr>
        <w:t>MRLs</w:t>
      </w:r>
      <w:r w:rsidRPr="004E0776">
        <w:rPr>
          <w:szCs w:val="22"/>
        </w:rPr>
        <w:t xml:space="preserve"> </w:t>
      </w:r>
      <w:r w:rsidRPr="00AD4A3B">
        <w:t>gazetted by the APVMA in their MRL Standard</w:t>
      </w:r>
      <w:r w:rsidRPr="004E0776">
        <w:rPr>
          <w:szCs w:val="22"/>
        </w:rPr>
        <w:t xml:space="preserve"> </w:t>
      </w:r>
      <w:r w:rsidR="00DE10D7">
        <w:rPr>
          <w:szCs w:val="22"/>
        </w:rPr>
        <w:t xml:space="preserve">as the concentration level </w:t>
      </w:r>
      <w:r w:rsidRPr="004E0776">
        <w:rPr>
          <w:szCs w:val="22"/>
        </w:rPr>
        <w:t xml:space="preserve">and consumption data </w:t>
      </w:r>
      <w:r>
        <w:rPr>
          <w:szCs w:val="22"/>
        </w:rPr>
        <w:t>for the Australian population</w:t>
      </w:r>
      <w:r w:rsidRPr="004E0776">
        <w:rPr>
          <w:szCs w:val="22"/>
        </w:rPr>
        <w:t xml:space="preserve"> </w:t>
      </w:r>
      <w:r w:rsidR="00574C64">
        <w:rPr>
          <w:szCs w:val="22"/>
        </w:rPr>
        <w:t xml:space="preserve">aged 2 years and above, </w:t>
      </w:r>
      <w:r w:rsidRPr="004E0776">
        <w:rPr>
          <w:szCs w:val="22"/>
        </w:rPr>
        <w:t>derived from the 1995 National Nutrition Survey (NNS). The 1995</w:t>
      </w:r>
      <w:r>
        <w:rPr>
          <w:szCs w:val="22"/>
        </w:rPr>
        <w:t xml:space="preserve"> NNS</w:t>
      </w:r>
      <w:r w:rsidRPr="004E0776">
        <w:rPr>
          <w:szCs w:val="22"/>
        </w:rPr>
        <w:t xml:space="preserve"> data were compared with the most recent 2011</w:t>
      </w:r>
      <w:r>
        <w:rPr>
          <w:rFonts w:cs="Arial"/>
          <w:szCs w:val="22"/>
        </w:rPr>
        <w:t>‒</w:t>
      </w:r>
      <w:r w:rsidRPr="004E0776">
        <w:rPr>
          <w:szCs w:val="22"/>
        </w:rPr>
        <w:t xml:space="preserve">12 National Nutrition and Physical Activity Survey, which indicated the proportion of the population consuming bacon and ham has decreased slightly, while the proportion </w:t>
      </w:r>
      <w:r w:rsidR="009823DA" w:rsidRPr="004E0776">
        <w:rPr>
          <w:szCs w:val="22"/>
        </w:rPr>
        <w:t>consum</w:t>
      </w:r>
      <w:r w:rsidR="009823DA">
        <w:rPr>
          <w:szCs w:val="22"/>
        </w:rPr>
        <w:t>ing</w:t>
      </w:r>
      <w:r w:rsidR="009823DA" w:rsidRPr="004E0776">
        <w:rPr>
          <w:szCs w:val="22"/>
        </w:rPr>
        <w:t xml:space="preserve"> </w:t>
      </w:r>
      <w:r w:rsidRPr="004E0776">
        <w:rPr>
          <w:szCs w:val="22"/>
        </w:rPr>
        <w:t xml:space="preserve">pork and liver (all types) </w:t>
      </w:r>
      <w:r w:rsidR="004B5F77">
        <w:rPr>
          <w:szCs w:val="22"/>
        </w:rPr>
        <w:t>was</w:t>
      </w:r>
      <w:r w:rsidR="004B5F77" w:rsidRPr="004E0776">
        <w:rPr>
          <w:szCs w:val="22"/>
        </w:rPr>
        <w:t xml:space="preserve"> </w:t>
      </w:r>
      <w:r w:rsidRPr="004E0776">
        <w:rPr>
          <w:szCs w:val="22"/>
        </w:rPr>
        <w:t xml:space="preserve">similar to the </w:t>
      </w:r>
      <w:r w:rsidR="00C00957">
        <w:rPr>
          <w:szCs w:val="22"/>
        </w:rPr>
        <w:t xml:space="preserve">proportion </w:t>
      </w:r>
      <w:r w:rsidRPr="004E0776">
        <w:rPr>
          <w:szCs w:val="22"/>
        </w:rPr>
        <w:t xml:space="preserve">consuming these foods in </w:t>
      </w:r>
      <w:r w:rsidRPr="00657640">
        <w:rPr>
          <w:szCs w:val="22"/>
        </w:rPr>
        <w:t>1995.</w:t>
      </w:r>
      <w:r w:rsidR="00250896">
        <w:rPr>
          <w:szCs w:val="22"/>
        </w:rPr>
        <w:t xml:space="preserve"> </w:t>
      </w:r>
    </w:p>
    <w:p w14:paraId="34C0B44D" w14:textId="37BF1E58" w:rsidR="00C86166" w:rsidRPr="00657640" w:rsidRDefault="00C86166" w:rsidP="002C1A3B"/>
    <w:p w14:paraId="518166D4" w14:textId="77777777" w:rsidR="00657640" w:rsidRPr="00657640" w:rsidRDefault="00657640" w:rsidP="00657640">
      <w:pPr>
        <w:pStyle w:val="FSSubheading"/>
        <w:ind w:left="0" w:right="-286" w:firstLine="0"/>
        <w:rPr>
          <w:b w:val="0"/>
          <w:i w:val="0"/>
        </w:rPr>
      </w:pPr>
      <w:r w:rsidRPr="00657640">
        <w:rPr>
          <w:b w:val="0"/>
          <w:i w:val="0"/>
        </w:rPr>
        <w:t xml:space="preserve">Estimates of exposure were compared to the relevant HBGVs </w:t>
      </w:r>
      <w:r w:rsidRPr="00657640">
        <w:rPr>
          <w:b w:val="0"/>
          <w:i w:val="0"/>
          <w:szCs w:val="22"/>
        </w:rPr>
        <w:t>for coumatetralyl</w:t>
      </w:r>
      <w:r w:rsidRPr="00657640">
        <w:rPr>
          <w:rStyle w:val="FootnoteReference"/>
          <w:b w:val="0"/>
          <w:i w:val="0"/>
          <w:szCs w:val="22"/>
        </w:rPr>
        <w:footnoteReference w:id="8"/>
      </w:r>
      <w:r w:rsidRPr="00657640">
        <w:rPr>
          <w:b w:val="0"/>
          <w:i w:val="0"/>
          <w:szCs w:val="22"/>
        </w:rPr>
        <w:t xml:space="preserve"> and warfarin</w:t>
      </w:r>
      <w:r w:rsidRPr="00657640">
        <w:rPr>
          <w:rStyle w:val="FootnoteReference"/>
          <w:b w:val="0"/>
          <w:i w:val="0"/>
          <w:szCs w:val="22"/>
        </w:rPr>
        <w:footnoteReference w:id="9"/>
      </w:r>
      <w:r w:rsidRPr="00657640">
        <w:rPr>
          <w:b w:val="0"/>
          <w:i w:val="0"/>
          <w:szCs w:val="22"/>
        </w:rPr>
        <w:t xml:space="preserve">. </w:t>
      </w:r>
    </w:p>
    <w:p w14:paraId="6C52A4C3" w14:textId="77777777" w:rsidR="00657640" w:rsidRPr="00657640" w:rsidRDefault="00657640" w:rsidP="00657640">
      <w:pPr>
        <w:pStyle w:val="FSSubheading"/>
        <w:ind w:left="0" w:firstLine="0"/>
        <w:rPr>
          <w:b w:val="0"/>
          <w:i w:val="0"/>
        </w:rPr>
      </w:pPr>
    </w:p>
    <w:p w14:paraId="3987AD33" w14:textId="7FD7CDC5" w:rsidR="00657640" w:rsidRPr="00657640" w:rsidRDefault="00657640" w:rsidP="00657640">
      <w:pPr>
        <w:pStyle w:val="FSSubheading"/>
        <w:ind w:left="0" w:firstLine="0"/>
        <w:rPr>
          <w:b w:val="0"/>
          <w:i w:val="0"/>
        </w:rPr>
      </w:pPr>
      <w:r w:rsidRPr="00657640">
        <w:rPr>
          <w:b w:val="0"/>
          <w:i w:val="0"/>
        </w:rPr>
        <w:lastRenderedPageBreak/>
        <w:t xml:space="preserve">The DEA indicates that </w:t>
      </w:r>
      <w:r w:rsidR="00075A9F">
        <w:rPr>
          <w:b w:val="0"/>
          <w:i w:val="0"/>
        </w:rPr>
        <w:t xml:space="preserve">for </w:t>
      </w:r>
      <w:r w:rsidRPr="00657640">
        <w:rPr>
          <w:b w:val="0"/>
          <w:i w:val="0"/>
        </w:rPr>
        <w:t xml:space="preserve">estimated </w:t>
      </w:r>
      <w:r w:rsidR="00F34239">
        <w:rPr>
          <w:b w:val="0"/>
          <w:i w:val="0"/>
        </w:rPr>
        <w:t>mean and high (90</w:t>
      </w:r>
      <w:r w:rsidR="00F34239" w:rsidRPr="00B52CD7">
        <w:rPr>
          <w:b w:val="0"/>
          <w:i w:val="0"/>
          <w:vertAlign w:val="superscript"/>
        </w:rPr>
        <w:t>th</w:t>
      </w:r>
      <w:r w:rsidR="00F34239">
        <w:rPr>
          <w:b w:val="0"/>
          <w:i w:val="0"/>
        </w:rPr>
        <w:t xml:space="preserve"> percentile) all respondent </w:t>
      </w:r>
      <w:r w:rsidRPr="00657640">
        <w:rPr>
          <w:b w:val="0"/>
          <w:i w:val="0"/>
        </w:rPr>
        <w:t xml:space="preserve">dietary exposures to coumatetralyl and warfarin </w:t>
      </w:r>
      <w:r w:rsidR="00F34239">
        <w:rPr>
          <w:b w:val="0"/>
          <w:i w:val="0"/>
        </w:rPr>
        <w:t xml:space="preserve">for the Australian population aged 2 years and above, </w:t>
      </w:r>
      <w:r w:rsidRPr="00657640">
        <w:rPr>
          <w:b w:val="0"/>
          <w:i w:val="0"/>
        </w:rPr>
        <w:t>at the proposed MRLs</w:t>
      </w:r>
      <w:r w:rsidR="00F34239">
        <w:rPr>
          <w:b w:val="0"/>
          <w:i w:val="0"/>
        </w:rPr>
        <w:t>,</w:t>
      </w:r>
      <w:r w:rsidRPr="00657640">
        <w:rPr>
          <w:b w:val="0"/>
          <w:i w:val="0"/>
        </w:rPr>
        <w:t xml:space="preserve"> are well below their respective HBGVs</w:t>
      </w:r>
      <w:r w:rsidR="00942B08">
        <w:rPr>
          <w:b w:val="0"/>
          <w:i w:val="0"/>
        </w:rPr>
        <w:t xml:space="preserve"> (refer to </w:t>
      </w:r>
      <w:r w:rsidR="00942B08" w:rsidRPr="00942B08">
        <w:rPr>
          <w:i w:val="0"/>
        </w:rPr>
        <w:t xml:space="preserve">Table </w:t>
      </w:r>
      <w:r w:rsidR="00A52C46">
        <w:rPr>
          <w:i w:val="0"/>
        </w:rPr>
        <w:t>2</w:t>
      </w:r>
      <w:r w:rsidR="00942B08">
        <w:rPr>
          <w:b w:val="0"/>
          <w:i w:val="0"/>
        </w:rPr>
        <w:t>)</w:t>
      </w:r>
      <w:r w:rsidR="00F34239">
        <w:rPr>
          <w:b w:val="0"/>
          <w:i w:val="0"/>
        </w:rPr>
        <w:t>.</w:t>
      </w:r>
      <w:r w:rsidR="003B0CCE">
        <w:rPr>
          <w:b w:val="0"/>
          <w:i w:val="0"/>
        </w:rPr>
        <w:t xml:space="preserve"> </w:t>
      </w:r>
      <w:r w:rsidRPr="00657640">
        <w:rPr>
          <w:b w:val="0"/>
          <w:i w:val="0"/>
        </w:rPr>
        <w:t xml:space="preserve">The proposed temporary MRLs for inclusion in Standard 1.4.2 are protective of public health and safety. </w:t>
      </w:r>
    </w:p>
    <w:p w14:paraId="2D39452E" w14:textId="77777777" w:rsidR="00CD3EFF" w:rsidRDefault="00CD3EFF" w:rsidP="00CD3EFF">
      <w:pPr>
        <w:rPr>
          <w:rFonts w:cs="Arial"/>
          <w:i/>
          <w:szCs w:val="22"/>
        </w:rPr>
      </w:pPr>
    </w:p>
    <w:p w14:paraId="18383193" w14:textId="436C88DD" w:rsidR="00CD3EFF" w:rsidRDefault="00CD3EFF" w:rsidP="00CD3EFF">
      <w:pPr>
        <w:rPr>
          <w:b/>
          <w:vertAlign w:val="superscript"/>
        </w:rPr>
      </w:pPr>
      <w:r w:rsidRPr="00871207">
        <w:rPr>
          <w:rFonts w:cs="Arial"/>
          <w:b/>
          <w:szCs w:val="22"/>
        </w:rPr>
        <w:t xml:space="preserve">Table </w:t>
      </w:r>
      <w:r w:rsidR="004B272E">
        <w:rPr>
          <w:rFonts w:cs="Arial"/>
          <w:b/>
          <w:szCs w:val="22"/>
        </w:rPr>
        <w:t xml:space="preserve">2: </w:t>
      </w:r>
      <w:r w:rsidRPr="00CD3EFF">
        <w:rPr>
          <w:rFonts w:cs="Arial"/>
          <w:i/>
          <w:szCs w:val="22"/>
        </w:rPr>
        <w:t xml:space="preserve"> </w:t>
      </w:r>
      <w:r w:rsidRPr="00A52C46">
        <w:rPr>
          <w:b/>
        </w:rPr>
        <w:t>Mean and 90</w:t>
      </w:r>
      <w:r w:rsidRPr="00A52C46">
        <w:rPr>
          <w:b/>
          <w:vertAlign w:val="superscript"/>
        </w:rPr>
        <w:t>th</w:t>
      </w:r>
      <w:r w:rsidRPr="00A52C46">
        <w:rPr>
          <w:b/>
        </w:rPr>
        <w:t xml:space="preserve"> percentile estimated dietary exposure to </w:t>
      </w:r>
      <w:r w:rsidR="00E919A1" w:rsidRPr="00A52C46">
        <w:rPr>
          <w:b/>
        </w:rPr>
        <w:t>warfarin and coumatetralyl</w:t>
      </w:r>
      <w:r w:rsidRPr="00A52C46">
        <w:rPr>
          <w:b/>
        </w:rPr>
        <w:t xml:space="preserve"> in pig</w:t>
      </w:r>
      <w:r w:rsidR="00E919A1" w:rsidRPr="00A52C46">
        <w:rPr>
          <w:b/>
        </w:rPr>
        <w:t xml:space="preserve"> products</w:t>
      </w:r>
      <w:r w:rsidRPr="00A52C46">
        <w:rPr>
          <w:b/>
        </w:rPr>
        <w:t xml:space="preserve"> (meat, fat, offal) for all respondents aged 2 years and above, based on 1995 National Nutrition Survey raw commodity consumption data</w:t>
      </w:r>
      <w:r w:rsidRPr="00A52C46">
        <w:rPr>
          <w:b/>
          <w:vertAlign w:val="superscript"/>
        </w:rPr>
        <w:t>+</w:t>
      </w:r>
    </w:p>
    <w:p w14:paraId="7CA14346" w14:textId="77777777" w:rsidR="004B272E" w:rsidRDefault="004B272E" w:rsidP="004B272E"/>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C00957" w14:paraId="7D535EE8" w14:textId="77777777" w:rsidTr="00C00957">
        <w:trPr>
          <w:trHeight w:val="340"/>
        </w:trPr>
        <w:tc>
          <w:tcPr>
            <w:tcW w:w="2310" w:type="dxa"/>
            <w:tcBorders>
              <w:top w:val="single" w:sz="12" w:space="0" w:color="auto"/>
              <w:bottom w:val="single" w:sz="4" w:space="0" w:color="auto"/>
              <w:right w:val="single" w:sz="4" w:space="0" w:color="auto"/>
            </w:tcBorders>
          </w:tcPr>
          <w:p w14:paraId="77180AA2" w14:textId="47182725" w:rsidR="00C00957" w:rsidRPr="00C00957" w:rsidRDefault="00C00957" w:rsidP="004B272E">
            <w:pPr>
              <w:rPr>
                <w:i/>
              </w:rPr>
            </w:pPr>
            <w:r w:rsidRPr="00C00957">
              <w:rPr>
                <w:rFonts w:cs="Arial"/>
                <w:b/>
                <w:i/>
                <w:sz w:val="20"/>
                <w:szCs w:val="20"/>
              </w:rPr>
              <w:t>Estimated respondent dietary exposure</w:t>
            </w:r>
          </w:p>
        </w:tc>
        <w:tc>
          <w:tcPr>
            <w:tcW w:w="2310" w:type="dxa"/>
            <w:tcBorders>
              <w:top w:val="single" w:sz="12" w:space="0" w:color="auto"/>
              <w:left w:val="single" w:sz="4" w:space="0" w:color="auto"/>
              <w:bottom w:val="single" w:sz="4" w:space="0" w:color="auto"/>
            </w:tcBorders>
          </w:tcPr>
          <w:p w14:paraId="705CD006" w14:textId="77777777" w:rsidR="00C00957" w:rsidRPr="00C00957" w:rsidRDefault="00C00957" w:rsidP="004B272E">
            <w:pPr>
              <w:rPr>
                <w:i/>
              </w:rPr>
            </w:pPr>
          </w:p>
        </w:tc>
        <w:tc>
          <w:tcPr>
            <w:tcW w:w="2311" w:type="dxa"/>
            <w:tcBorders>
              <w:top w:val="single" w:sz="12" w:space="0" w:color="auto"/>
              <w:bottom w:val="single" w:sz="4" w:space="0" w:color="auto"/>
            </w:tcBorders>
          </w:tcPr>
          <w:p w14:paraId="33A57B07" w14:textId="6E83FDD1" w:rsidR="00C00957" w:rsidRPr="00C00957" w:rsidRDefault="00C00957" w:rsidP="00C00957">
            <w:pPr>
              <w:jc w:val="center"/>
              <w:rPr>
                <w:i/>
              </w:rPr>
            </w:pPr>
            <w:r w:rsidRPr="00C00957">
              <w:rPr>
                <w:rFonts w:cs="Arial"/>
                <w:b/>
                <w:i/>
                <w:sz w:val="20"/>
                <w:szCs w:val="20"/>
              </w:rPr>
              <w:t>Warfarin</w:t>
            </w:r>
          </w:p>
        </w:tc>
        <w:tc>
          <w:tcPr>
            <w:tcW w:w="2311" w:type="dxa"/>
            <w:tcBorders>
              <w:top w:val="single" w:sz="12" w:space="0" w:color="auto"/>
              <w:bottom w:val="single" w:sz="4" w:space="0" w:color="auto"/>
            </w:tcBorders>
          </w:tcPr>
          <w:p w14:paraId="6E6D9754" w14:textId="3D70FD10" w:rsidR="00C00957" w:rsidRPr="00C00957" w:rsidRDefault="00C00957" w:rsidP="00C00957">
            <w:pPr>
              <w:tabs>
                <w:tab w:val="left" w:pos="234"/>
                <w:tab w:val="center" w:pos="1047"/>
              </w:tabs>
              <w:rPr>
                <w:i/>
              </w:rPr>
            </w:pPr>
            <w:r w:rsidRPr="00C00957">
              <w:rPr>
                <w:rFonts w:cs="Arial"/>
                <w:b/>
                <w:i/>
                <w:sz w:val="20"/>
                <w:szCs w:val="20"/>
              </w:rPr>
              <w:tab/>
            </w:r>
            <w:r w:rsidRPr="00C00957">
              <w:rPr>
                <w:rFonts w:cs="Arial"/>
                <w:b/>
                <w:i/>
                <w:sz w:val="20"/>
                <w:szCs w:val="20"/>
              </w:rPr>
              <w:tab/>
              <w:t>Coumatetralyl</w:t>
            </w:r>
          </w:p>
        </w:tc>
      </w:tr>
      <w:tr w:rsidR="00C00957" w14:paraId="38AA8B55" w14:textId="77777777" w:rsidTr="00C00957">
        <w:trPr>
          <w:trHeight w:val="340"/>
        </w:trPr>
        <w:tc>
          <w:tcPr>
            <w:tcW w:w="2310" w:type="dxa"/>
            <w:tcBorders>
              <w:top w:val="single" w:sz="4" w:space="0" w:color="auto"/>
              <w:right w:val="single" w:sz="4" w:space="0" w:color="auto"/>
            </w:tcBorders>
          </w:tcPr>
          <w:p w14:paraId="026CF1FB" w14:textId="77777777" w:rsidR="00C00957" w:rsidRDefault="00C00957" w:rsidP="004B272E"/>
        </w:tc>
        <w:tc>
          <w:tcPr>
            <w:tcW w:w="2310" w:type="dxa"/>
            <w:tcBorders>
              <w:top w:val="single" w:sz="4" w:space="0" w:color="auto"/>
              <w:left w:val="single" w:sz="4" w:space="0" w:color="auto"/>
            </w:tcBorders>
          </w:tcPr>
          <w:p w14:paraId="288BDBDD" w14:textId="78002CB2" w:rsidR="00C00957" w:rsidRDefault="00C00957" w:rsidP="004B272E">
            <w:r w:rsidRPr="00CD3EFF">
              <w:rPr>
                <w:rFonts w:cs="Arial"/>
                <w:color w:val="000000"/>
                <w:sz w:val="20"/>
                <w:szCs w:val="20"/>
                <w:lang w:eastAsia="en-GB"/>
              </w:rPr>
              <w:t>No. consumers</w:t>
            </w:r>
            <w:r>
              <w:rPr>
                <w:rFonts w:cs="Arial"/>
                <w:color w:val="000000"/>
                <w:sz w:val="20"/>
                <w:szCs w:val="20"/>
                <w:lang w:eastAsia="en-GB"/>
              </w:rPr>
              <w:t>*</w:t>
            </w:r>
          </w:p>
        </w:tc>
        <w:tc>
          <w:tcPr>
            <w:tcW w:w="2311" w:type="dxa"/>
            <w:tcBorders>
              <w:top w:val="single" w:sz="4" w:space="0" w:color="auto"/>
            </w:tcBorders>
          </w:tcPr>
          <w:p w14:paraId="187E712D" w14:textId="727A4FBE" w:rsidR="00C00957" w:rsidRDefault="00C00957" w:rsidP="00C00957">
            <w:pPr>
              <w:jc w:val="center"/>
            </w:pPr>
            <w:r w:rsidRPr="00CD3EFF">
              <w:rPr>
                <w:rFonts w:cs="Arial"/>
                <w:color w:val="000000"/>
                <w:sz w:val="20"/>
                <w:szCs w:val="20"/>
                <w:lang w:eastAsia="en-GB"/>
              </w:rPr>
              <w:t>8</w:t>
            </w:r>
            <w:r>
              <w:rPr>
                <w:rFonts w:cs="Arial"/>
                <w:color w:val="000000"/>
                <w:sz w:val="20"/>
                <w:szCs w:val="20"/>
                <w:lang w:eastAsia="en-GB"/>
              </w:rPr>
              <w:t>,</w:t>
            </w:r>
            <w:r w:rsidRPr="00CD3EFF">
              <w:rPr>
                <w:rFonts w:cs="Arial"/>
                <w:color w:val="000000"/>
                <w:sz w:val="20"/>
                <w:szCs w:val="20"/>
                <w:lang w:eastAsia="en-GB"/>
              </w:rPr>
              <w:t>857</w:t>
            </w:r>
          </w:p>
        </w:tc>
        <w:tc>
          <w:tcPr>
            <w:tcW w:w="2311" w:type="dxa"/>
            <w:tcBorders>
              <w:top w:val="single" w:sz="4" w:space="0" w:color="auto"/>
            </w:tcBorders>
          </w:tcPr>
          <w:p w14:paraId="45C88531" w14:textId="522A7182" w:rsidR="00C00957" w:rsidRDefault="00C00957" w:rsidP="00C00957">
            <w:pPr>
              <w:jc w:val="center"/>
            </w:pPr>
            <w:r w:rsidRPr="00CD3EFF">
              <w:rPr>
                <w:rFonts w:cs="Arial"/>
                <w:color w:val="000000"/>
                <w:sz w:val="20"/>
                <w:szCs w:val="20"/>
                <w:lang w:eastAsia="en-GB"/>
              </w:rPr>
              <w:t>8</w:t>
            </w:r>
            <w:r>
              <w:rPr>
                <w:rFonts w:cs="Arial"/>
                <w:color w:val="000000"/>
                <w:sz w:val="20"/>
                <w:szCs w:val="20"/>
                <w:lang w:eastAsia="en-GB"/>
              </w:rPr>
              <w:t>,</w:t>
            </w:r>
            <w:r w:rsidRPr="00CD3EFF">
              <w:rPr>
                <w:rFonts w:cs="Arial"/>
                <w:color w:val="000000"/>
                <w:sz w:val="20"/>
                <w:szCs w:val="20"/>
                <w:lang w:eastAsia="en-GB"/>
              </w:rPr>
              <w:t>857</w:t>
            </w:r>
          </w:p>
        </w:tc>
      </w:tr>
      <w:tr w:rsidR="00C00957" w14:paraId="4C682047" w14:textId="77777777" w:rsidTr="00C00957">
        <w:trPr>
          <w:trHeight w:val="340"/>
        </w:trPr>
        <w:tc>
          <w:tcPr>
            <w:tcW w:w="2310" w:type="dxa"/>
            <w:tcBorders>
              <w:right w:val="single" w:sz="4" w:space="0" w:color="auto"/>
            </w:tcBorders>
          </w:tcPr>
          <w:p w14:paraId="01B01041" w14:textId="46DE6347" w:rsidR="00C00957" w:rsidRDefault="00C00957" w:rsidP="004B272E">
            <w:r w:rsidRPr="000D6A37">
              <w:rPr>
                <w:rFonts w:cs="Arial"/>
                <w:b/>
                <w:color w:val="000000"/>
                <w:sz w:val="20"/>
                <w:szCs w:val="20"/>
                <w:lang w:eastAsia="en-GB"/>
              </w:rPr>
              <w:t>Mean</w:t>
            </w:r>
          </w:p>
        </w:tc>
        <w:tc>
          <w:tcPr>
            <w:tcW w:w="2310" w:type="dxa"/>
            <w:tcBorders>
              <w:left w:val="single" w:sz="4" w:space="0" w:color="auto"/>
            </w:tcBorders>
          </w:tcPr>
          <w:p w14:paraId="5A6C2EF5" w14:textId="1092B834" w:rsidR="00C00957" w:rsidRDefault="00C00957" w:rsidP="004B272E">
            <w:r w:rsidRPr="00CD3EFF">
              <w:rPr>
                <w:rFonts w:cs="Arial"/>
                <w:color w:val="000000"/>
                <w:sz w:val="20"/>
                <w:szCs w:val="20"/>
                <w:lang w:eastAsia="en-GB"/>
              </w:rPr>
              <w:t>mg/day</w:t>
            </w:r>
          </w:p>
        </w:tc>
        <w:tc>
          <w:tcPr>
            <w:tcW w:w="2311" w:type="dxa"/>
          </w:tcPr>
          <w:p w14:paraId="03524055" w14:textId="4348F849" w:rsidR="00C00957" w:rsidRDefault="00C00957" w:rsidP="00C00957">
            <w:pPr>
              <w:jc w:val="center"/>
            </w:pPr>
            <w:r w:rsidRPr="00CD3EFF">
              <w:rPr>
                <w:rFonts w:cs="Arial"/>
                <w:bCs/>
                <w:color w:val="000000"/>
                <w:sz w:val="20"/>
                <w:szCs w:val="20"/>
                <w:lang w:eastAsia="en-GB"/>
              </w:rPr>
              <w:t>0.000</w:t>
            </w:r>
            <w:r>
              <w:rPr>
                <w:rFonts w:cs="Arial"/>
                <w:bCs/>
                <w:color w:val="000000"/>
                <w:sz w:val="20"/>
                <w:szCs w:val="20"/>
                <w:lang w:eastAsia="en-GB"/>
              </w:rPr>
              <w:t>36</w:t>
            </w:r>
          </w:p>
        </w:tc>
        <w:tc>
          <w:tcPr>
            <w:tcW w:w="2311" w:type="dxa"/>
          </w:tcPr>
          <w:p w14:paraId="057AA066" w14:textId="146FE938" w:rsidR="00C00957" w:rsidRDefault="00C00957" w:rsidP="00C00957">
            <w:pPr>
              <w:jc w:val="center"/>
            </w:pPr>
            <w:r w:rsidRPr="00CD3EFF">
              <w:rPr>
                <w:rFonts w:cs="Arial"/>
                <w:bCs/>
                <w:color w:val="000000"/>
                <w:sz w:val="20"/>
                <w:szCs w:val="20"/>
                <w:lang w:eastAsia="en-GB"/>
              </w:rPr>
              <w:t>0.</w:t>
            </w:r>
            <w:r>
              <w:rPr>
                <w:rFonts w:cs="Arial"/>
                <w:bCs/>
                <w:color w:val="000000"/>
                <w:sz w:val="20"/>
                <w:szCs w:val="20"/>
                <w:lang w:eastAsia="en-GB"/>
              </w:rPr>
              <w:t>000</w:t>
            </w:r>
            <w:r w:rsidRPr="00CD3EFF">
              <w:rPr>
                <w:rFonts w:cs="Arial"/>
                <w:bCs/>
                <w:color w:val="000000"/>
                <w:sz w:val="20"/>
                <w:szCs w:val="20"/>
                <w:lang w:eastAsia="en-GB"/>
              </w:rPr>
              <w:t>05</w:t>
            </w:r>
          </w:p>
        </w:tc>
      </w:tr>
      <w:tr w:rsidR="00C00957" w14:paraId="28F53A05" w14:textId="77777777" w:rsidTr="00C00957">
        <w:trPr>
          <w:trHeight w:val="340"/>
        </w:trPr>
        <w:tc>
          <w:tcPr>
            <w:tcW w:w="2310" w:type="dxa"/>
            <w:tcBorders>
              <w:right w:val="single" w:sz="4" w:space="0" w:color="auto"/>
            </w:tcBorders>
          </w:tcPr>
          <w:p w14:paraId="51AB2F9C" w14:textId="77777777" w:rsidR="00C00957" w:rsidRDefault="00C00957" w:rsidP="004B272E"/>
        </w:tc>
        <w:tc>
          <w:tcPr>
            <w:tcW w:w="2310" w:type="dxa"/>
            <w:tcBorders>
              <w:left w:val="single" w:sz="4" w:space="0" w:color="auto"/>
            </w:tcBorders>
          </w:tcPr>
          <w:p w14:paraId="2F4E547B" w14:textId="66948170" w:rsidR="00C00957" w:rsidRDefault="00C00957" w:rsidP="004B272E">
            <w:r w:rsidRPr="00CD3EFF">
              <w:rPr>
                <w:rFonts w:cs="Arial"/>
                <w:color w:val="000000"/>
                <w:sz w:val="20"/>
                <w:szCs w:val="20"/>
                <w:lang w:eastAsia="en-GB"/>
              </w:rPr>
              <w:t xml:space="preserve">% </w:t>
            </w:r>
            <w:r>
              <w:rPr>
                <w:rFonts w:cs="Arial"/>
                <w:color w:val="000000"/>
                <w:sz w:val="20"/>
                <w:szCs w:val="20"/>
                <w:lang w:eastAsia="en-GB"/>
              </w:rPr>
              <w:t>TDI</w:t>
            </w:r>
          </w:p>
        </w:tc>
        <w:tc>
          <w:tcPr>
            <w:tcW w:w="2311" w:type="dxa"/>
          </w:tcPr>
          <w:p w14:paraId="6B0BC03B" w14:textId="36F65612" w:rsidR="00C00957" w:rsidRDefault="00C00957" w:rsidP="00C00957">
            <w:pPr>
              <w:jc w:val="center"/>
            </w:pPr>
            <w:r w:rsidRPr="00CD3EFF">
              <w:rPr>
                <w:rFonts w:cs="Arial"/>
                <w:bCs/>
                <w:color w:val="000000"/>
                <w:sz w:val="20"/>
                <w:szCs w:val="20"/>
                <w:lang w:eastAsia="en-GB"/>
              </w:rPr>
              <w:t>2</w:t>
            </w:r>
            <w:r>
              <w:rPr>
                <w:rFonts w:cs="Arial"/>
                <w:bCs/>
                <w:color w:val="000000"/>
                <w:sz w:val="20"/>
                <w:szCs w:val="20"/>
                <w:lang w:eastAsia="en-GB"/>
              </w:rPr>
              <w:t>^</w:t>
            </w:r>
          </w:p>
        </w:tc>
        <w:tc>
          <w:tcPr>
            <w:tcW w:w="2311" w:type="dxa"/>
          </w:tcPr>
          <w:p w14:paraId="3CDA9790" w14:textId="0086531B" w:rsidR="00C00957" w:rsidRDefault="00C00957" w:rsidP="00C00957">
            <w:pPr>
              <w:jc w:val="center"/>
            </w:pPr>
            <w:r w:rsidRPr="00CD3EFF">
              <w:rPr>
                <w:rFonts w:cs="Arial"/>
                <w:bCs/>
                <w:color w:val="000000"/>
                <w:sz w:val="20"/>
                <w:szCs w:val="20"/>
                <w:lang w:eastAsia="en-GB"/>
              </w:rPr>
              <w:t>28</w:t>
            </w:r>
            <w:r>
              <w:rPr>
                <w:rFonts w:cs="Arial"/>
                <w:bCs/>
                <w:color w:val="000000"/>
                <w:sz w:val="20"/>
                <w:szCs w:val="20"/>
                <w:vertAlign w:val="superscript"/>
                <w:lang w:eastAsia="en-GB"/>
              </w:rPr>
              <w:t>~</w:t>
            </w:r>
          </w:p>
        </w:tc>
      </w:tr>
      <w:tr w:rsidR="00C00957" w14:paraId="68FA8702" w14:textId="77777777" w:rsidTr="00C00957">
        <w:trPr>
          <w:trHeight w:val="340"/>
        </w:trPr>
        <w:tc>
          <w:tcPr>
            <w:tcW w:w="2310" w:type="dxa"/>
            <w:tcBorders>
              <w:right w:val="single" w:sz="4" w:space="0" w:color="auto"/>
            </w:tcBorders>
          </w:tcPr>
          <w:p w14:paraId="62BF88F6" w14:textId="6E40AAF4" w:rsidR="00C00957" w:rsidRDefault="00C00957" w:rsidP="004B272E">
            <w:r w:rsidRPr="000D6A37">
              <w:rPr>
                <w:rFonts w:cs="Arial"/>
                <w:b/>
                <w:sz w:val="20"/>
                <w:szCs w:val="20"/>
              </w:rPr>
              <w:t>P90</w:t>
            </w:r>
          </w:p>
        </w:tc>
        <w:tc>
          <w:tcPr>
            <w:tcW w:w="2310" w:type="dxa"/>
            <w:tcBorders>
              <w:left w:val="single" w:sz="4" w:space="0" w:color="auto"/>
            </w:tcBorders>
          </w:tcPr>
          <w:p w14:paraId="68F63994" w14:textId="23496597" w:rsidR="00C00957" w:rsidRDefault="00C00957" w:rsidP="004B272E">
            <w:r>
              <w:rPr>
                <w:rFonts w:cs="Arial"/>
                <w:color w:val="000000"/>
                <w:sz w:val="20"/>
                <w:szCs w:val="20"/>
                <w:lang w:eastAsia="en-GB"/>
              </w:rPr>
              <w:t>m</w:t>
            </w:r>
            <w:r w:rsidRPr="00CD3EFF">
              <w:rPr>
                <w:rFonts w:cs="Arial"/>
                <w:color w:val="000000"/>
                <w:sz w:val="20"/>
                <w:szCs w:val="20"/>
                <w:lang w:eastAsia="en-GB"/>
              </w:rPr>
              <w:t>g/day</w:t>
            </w:r>
          </w:p>
        </w:tc>
        <w:tc>
          <w:tcPr>
            <w:tcW w:w="2311" w:type="dxa"/>
          </w:tcPr>
          <w:p w14:paraId="490BD867" w14:textId="214331D3" w:rsidR="00C00957" w:rsidRDefault="00C00957" w:rsidP="00C00957">
            <w:pPr>
              <w:jc w:val="center"/>
            </w:pPr>
            <w:r w:rsidRPr="00CD3EFF">
              <w:rPr>
                <w:rFonts w:cs="Arial"/>
                <w:bCs/>
                <w:color w:val="000000"/>
                <w:sz w:val="20"/>
                <w:szCs w:val="20"/>
                <w:lang w:eastAsia="en-GB"/>
              </w:rPr>
              <w:t>0.001</w:t>
            </w:r>
          </w:p>
        </w:tc>
        <w:tc>
          <w:tcPr>
            <w:tcW w:w="2311" w:type="dxa"/>
          </w:tcPr>
          <w:p w14:paraId="6679C800" w14:textId="1BC09853" w:rsidR="00C00957" w:rsidRDefault="00C00957" w:rsidP="00C00957">
            <w:pPr>
              <w:jc w:val="center"/>
            </w:pPr>
            <w:r w:rsidRPr="00CD3EFF">
              <w:rPr>
                <w:rFonts w:cs="Arial"/>
                <w:bCs/>
                <w:color w:val="000000"/>
                <w:sz w:val="20"/>
                <w:szCs w:val="20"/>
                <w:lang w:eastAsia="en-GB"/>
              </w:rPr>
              <w:t>0.</w:t>
            </w:r>
            <w:r>
              <w:rPr>
                <w:rFonts w:cs="Arial"/>
                <w:bCs/>
                <w:color w:val="000000"/>
                <w:sz w:val="20"/>
                <w:szCs w:val="20"/>
                <w:lang w:eastAsia="en-GB"/>
              </w:rPr>
              <w:t>000</w:t>
            </w:r>
            <w:r w:rsidRPr="00CD3EFF">
              <w:rPr>
                <w:rFonts w:cs="Arial"/>
                <w:bCs/>
                <w:color w:val="000000"/>
                <w:sz w:val="20"/>
                <w:szCs w:val="20"/>
                <w:lang w:eastAsia="en-GB"/>
              </w:rPr>
              <w:t>14</w:t>
            </w:r>
          </w:p>
        </w:tc>
      </w:tr>
      <w:tr w:rsidR="00C00957" w14:paraId="5F54F576" w14:textId="77777777" w:rsidTr="00C00957">
        <w:trPr>
          <w:trHeight w:val="340"/>
        </w:trPr>
        <w:tc>
          <w:tcPr>
            <w:tcW w:w="2310" w:type="dxa"/>
            <w:tcBorders>
              <w:right w:val="single" w:sz="4" w:space="0" w:color="auto"/>
            </w:tcBorders>
          </w:tcPr>
          <w:p w14:paraId="6E1A3DDA" w14:textId="77777777" w:rsidR="00C00957" w:rsidRDefault="00C00957" w:rsidP="004B272E"/>
        </w:tc>
        <w:tc>
          <w:tcPr>
            <w:tcW w:w="2310" w:type="dxa"/>
            <w:tcBorders>
              <w:left w:val="single" w:sz="4" w:space="0" w:color="auto"/>
              <w:bottom w:val="single" w:sz="12" w:space="0" w:color="auto"/>
            </w:tcBorders>
          </w:tcPr>
          <w:p w14:paraId="7FC3C422" w14:textId="1C704815" w:rsidR="00C00957" w:rsidRDefault="00C00957" w:rsidP="004B272E">
            <w:r w:rsidRPr="00CD3EFF">
              <w:rPr>
                <w:rFonts w:cs="Arial"/>
                <w:color w:val="000000"/>
                <w:sz w:val="20"/>
                <w:szCs w:val="20"/>
                <w:lang w:eastAsia="en-GB"/>
              </w:rPr>
              <w:t xml:space="preserve">% </w:t>
            </w:r>
            <w:r>
              <w:rPr>
                <w:rFonts w:cs="Arial"/>
                <w:color w:val="000000"/>
                <w:sz w:val="20"/>
                <w:szCs w:val="20"/>
                <w:lang w:eastAsia="en-GB"/>
              </w:rPr>
              <w:t>TDI</w:t>
            </w:r>
          </w:p>
        </w:tc>
        <w:tc>
          <w:tcPr>
            <w:tcW w:w="2311" w:type="dxa"/>
            <w:tcBorders>
              <w:bottom w:val="single" w:sz="12" w:space="0" w:color="auto"/>
            </w:tcBorders>
          </w:tcPr>
          <w:p w14:paraId="14485ACB" w14:textId="62673EBD" w:rsidR="00C00957" w:rsidRDefault="00C00957" w:rsidP="00C00957">
            <w:pPr>
              <w:jc w:val="center"/>
            </w:pPr>
            <w:r w:rsidRPr="00CD3EFF">
              <w:rPr>
                <w:rFonts w:cs="Arial"/>
                <w:bCs/>
                <w:color w:val="000000"/>
                <w:sz w:val="20"/>
                <w:szCs w:val="20"/>
                <w:lang w:eastAsia="en-GB"/>
              </w:rPr>
              <w:t>5</w:t>
            </w:r>
            <w:r>
              <w:rPr>
                <w:rFonts w:cs="Arial"/>
                <w:bCs/>
                <w:color w:val="000000"/>
                <w:sz w:val="20"/>
                <w:szCs w:val="20"/>
                <w:lang w:eastAsia="en-GB"/>
              </w:rPr>
              <w:t>^</w:t>
            </w:r>
          </w:p>
        </w:tc>
        <w:tc>
          <w:tcPr>
            <w:tcW w:w="2311" w:type="dxa"/>
            <w:tcBorders>
              <w:bottom w:val="single" w:sz="12" w:space="0" w:color="auto"/>
            </w:tcBorders>
          </w:tcPr>
          <w:p w14:paraId="36CFDCC3" w14:textId="21767033" w:rsidR="00C00957" w:rsidRDefault="00C00957" w:rsidP="00C00957">
            <w:pPr>
              <w:jc w:val="center"/>
            </w:pPr>
            <w:r w:rsidRPr="00CD3EFF">
              <w:rPr>
                <w:rFonts w:cs="Arial"/>
                <w:bCs/>
                <w:color w:val="000000"/>
                <w:sz w:val="20"/>
                <w:szCs w:val="20"/>
                <w:lang w:eastAsia="en-GB"/>
              </w:rPr>
              <w:t>78</w:t>
            </w:r>
            <w:r w:rsidRPr="006B045E">
              <w:rPr>
                <w:rFonts w:cs="Arial"/>
                <w:bCs/>
                <w:color w:val="000000"/>
                <w:sz w:val="20"/>
                <w:szCs w:val="20"/>
                <w:vertAlign w:val="superscript"/>
                <w:lang w:eastAsia="en-GB"/>
              </w:rPr>
              <w:t>~</w:t>
            </w:r>
          </w:p>
        </w:tc>
      </w:tr>
    </w:tbl>
    <w:p w14:paraId="62F1853B" w14:textId="6C6A4A91" w:rsidR="00CD3EFF" w:rsidRPr="00CD3EFF" w:rsidRDefault="00CD3EFF" w:rsidP="00CD3EFF">
      <w:pPr>
        <w:rPr>
          <w:sz w:val="18"/>
          <w:szCs w:val="18"/>
        </w:rPr>
      </w:pPr>
      <w:r w:rsidRPr="00CD3EFF">
        <w:rPr>
          <w:sz w:val="18"/>
          <w:szCs w:val="18"/>
          <w:vertAlign w:val="superscript"/>
        </w:rPr>
        <w:t>+</w:t>
      </w:r>
      <w:r w:rsidRPr="00CD3EFF">
        <w:rPr>
          <w:sz w:val="18"/>
          <w:szCs w:val="18"/>
        </w:rPr>
        <w:t xml:space="preserve"> derived using FSANZ’s custom build dietary exposure assessment program, Harvest, using total pig product consumption from all sources (i.e. reported as consumed (e.g. pork chop, fried liver) and where present in recipes (e.g. pork stir fry, liver pate)) and proposed M1012 MRL chemical concentrations. Modelling assumes that the chemical is present in all specified foods at the proposed concentrations, representing a conservative, worst case scenario.</w:t>
      </w:r>
    </w:p>
    <w:p w14:paraId="66911CA5" w14:textId="77777777" w:rsidR="00CD3EFF" w:rsidRPr="00CD3EFF" w:rsidRDefault="00CD3EFF" w:rsidP="00CD3EFF">
      <w:pPr>
        <w:rPr>
          <w:sz w:val="18"/>
          <w:szCs w:val="18"/>
        </w:rPr>
      </w:pPr>
      <w:r w:rsidRPr="00CD3EFF">
        <w:rPr>
          <w:sz w:val="18"/>
          <w:szCs w:val="18"/>
        </w:rPr>
        <w:t>* Number of respondents for the 1995 NNS = 13,858</w:t>
      </w:r>
    </w:p>
    <w:p w14:paraId="6804DB94" w14:textId="77777777" w:rsidR="00CD3EFF" w:rsidRPr="00CD3EFF" w:rsidRDefault="00CD3EFF" w:rsidP="00CD3EFF">
      <w:pPr>
        <w:pStyle w:val="FootnoteText"/>
        <w:rPr>
          <w:sz w:val="18"/>
          <w:szCs w:val="18"/>
          <w:lang w:val="en-AU"/>
        </w:rPr>
      </w:pPr>
      <w:r w:rsidRPr="00CD3EFF">
        <w:rPr>
          <w:rStyle w:val="FootnoteReference"/>
          <w:sz w:val="18"/>
          <w:szCs w:val="18"/>
        </w:rPr>
        <w:t>^</w:t>
      </w:r>
      <w:r w:rsidRPr="00CD3EFF">
        <w:rPr>
          <w:sz w:val="18"/>
          <w:szCs w:val="18"/>
        </w:rPr>
        <w:t xml:space="preserve"> </w:t>
      </w:r>
      <w:r w:rsidRPr="00CD3EFF">
        <w:rPr>
          <w:sz w:val="18"/>
          <w:szCs w:val="18"/>
          <w:lang w:val="en-AU"/>
        </w:rPr>
        <w:t>Warfarin – TDI: 0.0003 mg/kg bw/day</w:t>
      </w:r>
    </w:p>
    <w:p w14:paraId="1D689D5A" w14:textId="170E9AE9" w:rsidR="00CD3EFF" w:rsidRPr="00CD3EFF" w:rsidRDefault="00CD3EFF" w:rsidP="00CD3EFF">
      <w:pPr>
        <w:pStyle w:val="FootnoteText"/>
        <w:rPr>
          <w:sz w:val="18"/>
          <w:szCs w:val="18"/>
          <w:lang w:val="en-AU"/>
        </w:rPr>
      </w:pPr>
      <w:r w:rsidRPr="00CD3EFF">
        <w:rPr>
          <w:sz w:val="18"/>
          <w:szCs w:val="18"/>
          <w:vertAlign w:val="superscript"/>
        </w:rPr>
        <w:t>~</w:t>
      </w:r>
      <w:r w:rsidRPr="00CD3EFF">
        <w:rPr>
          <w:sz w:val="18"/>
          <w:szCs w:val="18"/>
        </w:rPr>
        <w:t xml:space="preserve"> C</w:t>
      </w:r>
      <w:r w:rsidRPr="00CD3EFF">
        <w:rPr>
          <w:sz w:val="18"/>
          <w:szCs w:val="18"/>
          <w:lang w:val="en-AU"/>
        </w:rPr>
        <w:t>oumatetralyl – TDI: 0.000003 mg/kg bw/day</w:t>
      </w:r>
    </w:p>
    <w:p w14:paraId="41982697" w14:textId="20E4BF7E" w:rsidR="00AA3C61" w:rsidRPr="007B5561" w:rsidRDefault="00AA3C61" w:rsidP="00657640">
      <w:pPr>
        <w:pStyle w:val="Default"/>
        <w:rPr>
          <w:rFonts w:ascii="Arial" w:hAnsi="Arial" w:cs="Arial"/>
          <w:color w:val="auto"/>
          <w:sz w:val="22"/>
          <w:szCs w:val="22"/>
        </w:rPr>
      </w:pPr>
    </w:p>
    <w:p w14:paraId="4F884864" w14:textId="500F34B3" w:rsidR="00657640" w:rsidRPr="00657640" w:rsidRDefault="00657640" w:rsidP="00657640">
      <w:r w:rsidRPr="00657640">
        <w:rPr>
          <w:szCs w:val="22"/>
        </w:rPr>
        <w:t xml:space="preserve">A summary of the </w:t>
      </w:r>
      <w:r w:rsidR="00AA3C61">
        <w:rPr>
          <w:szCs w:val="22"/>
        </w:rPr>
        <w:t xml:space="preserve">mean </w:t>
      </w:r>
      <w:r w:rsidRPr="00657640">
        <w:rPr>
          <w:szCs w:val="22"/>
        </w:rPr>
        <w:t xml:space="preserve">dietary exposure estimates for coumatetralyl and warfarin is provided in </w:t>
      </w:r>
      <w:r w:rsidRPr="00657640">
        <w:rPr>
          <w:b/>
          <w:bCs/>
          <w:szCs w:val="22"/>
        </w:rPr>
        <w:t>SD1</w:t>
      </w:r>
      <w:r w:rsidR="002E22D5">
        <w:rPr>
          <w:rStyle w:val="FootnoteReference"/>
          <w:b/>
          <w:bCs/>
          <w:szCs w:val="22"/>
        </w:rPr>
        <w:footnoteReference w:id="10"/>
      </w:r>
      <w:r w:rsidRPr="00657640">
        <w:rPr>
          <w:szCs w:val="22"/>
        </w:rPr>
        <w:t>.</w:t>
      </w:r>
      <w:r w:rsidR="002E22D5">
        <w:rPr>
          <w:szCs w:val="22"/>
        </w:rPr>
        <w:t xml:space="preserve"> </w:t>
      </w:r>
    </w:p>
    <w:p w14:paraId="30D518AE" w14:textId="77777777" w:rsidR="002C1A3B" w:rsidRPr="00932F14" w:rsidRDefault="002C1A3B" w:rsidP="002C1A3B">
      <w:pPr>
        <w:pStyle w:val="Heading2"/>
      </w:pPr>
      <w:bookmarkStart w:id="53" w:name="_Toc370223473"/>
      <w:bookmarkStart w:id="54" w:name="_Toc370225388"/>
      <w:bookmarkStart w:id="55" w:name="_Toc175381450"/>
      <w:bookmarkStart w:id="56" w:name="_Toc427156664"/>
      <w:bookmarkEnd w:id="50"/>
      <w:bookmarkEnd w:id="51"/>
      <w:r>
        <w:t>2.3</w:t>
      </w:r>
      <w:r>
        <w:tab/>
        <w:t>Risk management</w:t>
      </w:r>
      <w:bookmarkEnd w:id="53"/>
      <w:bookmarkEnd w:id="54"/>
      <w:bookmarkEnd w:id="56"/>
    </w:p>
    <w:p w14:paraId="07B12A94" w14:textId="77777777" w:rsidR="00640DA4" w:rsidRDefault="00657640" w:rsidP="00657640">
      <w:pPr>
        <w:rPr>
          <w:szCs w:val="22"/>
        </w:rPr>
      </w:pPr>
      <w:bookmarkStart w:id="57" w:name="_Toc309291814"/>
      <w:bookmarkStart w:id="58" w:name="_Toc370225389"/>
      <w:bookmarkStart w:id="59" w:name="_Toc286391012"/>
      <w:bookmarkEnd w:id="55"/>
      <w:r w:rsidRPr="00E16B5B">
        <w:rPr>
          <w:szCs w:val="22"/>
        </w:rPr>
        <w:t xml:space="preserve">FSANZ is committed to maintaining </w:t>
      </w:r>
      <w:r>
        <w:rPr>
          <w:szCs w:val="22"/>
        </w:rPr>
        <w:t>MRLs</w:t>
      </w:r>
      <w:r w:rsidRPr="00E16B5B">
        <w:rPr>
          <w:szCs w:val="22"/>
        </w:rPr>
        <w:t xml:space="preserve"> in the Code that reflect </w:t>
      </w:r>
      <w:r w:rsidR="00295FCA">
        <w:rPr>
          <w:szCs w:val="22"/>
        </w:rPr>
        <w:t>good agricultural practice</w:t>
      </w:r>
      <w:r>
        <w:rPr>
          <w:szCs w:val="22"/>
        </w:rPr>
        <w:t xml:space="preserve"> and</w:t>
      </w:r>
      <w:r w:rsidRPr="00E16B5B">
        <w:rPr>
          <w:szCs w:val="22"/>
        </w:rPr>
        <w:t xml:space="preserve"> that may safely occur in food; this ensures that such food may be sold.</w:t>
      </w:r>
      <w:r w:rsidRPr="006460E6">
        <w:rPr>
          <w:szCs w:val="22"/>
        </w:rPr>
        <w:t xml:space="preserve"> </w:t>
      </w:r>
      <w:r w:rsidRPr="00E16B5B">
        <w:rPr>
          <w:szCs w:val="22"/>
        </w:rPr>
        <w:t>The safety of the residues in the context of the Australian diet is a key consideration.</w:t>
      </w:r>
    </w:p>
    <w:p w14:paraId="5E93FA8E" w14:textId="77777777" w:rsidR="00640DA4" w:rsidRDefault="00640DA4" w:rsidP="00657640">
      <w:pPr>
        <w:rPr>
          <w:szCs w:val="22"/>
        </w:rPr>
      </w:pPr>
    </w:p>
    <w:p w14:paraId="14376476" w14:textId="3FB20A3D" w:rsidR="00657640" w:rsidRDefault="00657640" w:rsidP="00657640">
      <w:pPr>
        <w:rPr>
          <w:szCs w:val="22"/>
        </w:rPr>
      </w:pPr>
      <w:r w:rsidRPr="00E16B5B">
        <w:rPr>
          <w:szCs w:val="22"/>
        </w:rPr>
        <w:t xml:space="preserve">FSANZ will only approve variations to </w:t>
      </w:r>
      <w:r>
        <w:rPr>
          <w:szCs w:val="22"/>
        </w:rPr>
        <w:t>MRLs</w:t>
      </w:r>
      <w:r w:rsidRPr="00E16B5B">
        <w:rPr>
          <w:szCs w:val="22"/>
        </w:rPr>
        <w:t xml:space="preserve"> in the Code where the risk assessment concludes that estimated dietary exposure </w:t>
      </w:r>
      <w:r w:rsidR="004D0516">
        <w:rPr>
          <w:szCs w:val="22"/>
        </w:rPr>
        <w:t xml:space="preserve">to the agvet chemical </w:t>
      </w:r>
      <w:r w:rsidRPr="00E16B5B">
        <w:rPr>
          <w:szCs w:val="22"/>
        </w:rPr>
        <w:t xml:space="preserve">is within </w:t>
      </w:r>
      <w:r>
        <w:rPr>
          <w:szCs w:val="22"/>
        </w:rPr>
        <w:t>H</w:t>
      </w:r>
      <w:r w:rsidRPr="00E16B5B">
        <w:rPr>
          <w:szCs w:val="22"/>
        </w:rPr>
        <w:t xml:space="preserve">BGVs. </w:t>
      </w:r>
    </w:p>
    <w:p w14:paraId="2C15D01F" w14:textId="77777777" w:rsidR="00657640" w:rsidRDefault="00657640" w:rsidP="00657640">
      <w:pPr>
        <w:rPr>
          <w:szCs w:val="22"/>
        </w:rPr>
      </w:pPr>
    </w:p>
    <w:p w14:paraId="5BDDF327" w14:textId="131E40C0" w:rsidR="00657640" w:rsidRDefault="00657640" w:rsidP="00657640">
      <w:pPr>
        <w:rPr>
          <w:szCs w:val="22"/>
        </w:rPr>
      </w:pPr>
      <w:r>
        <w:rPr>
          <w:szCs w:val="22"/>
        </w:rPr>
        <w:t>Currently</w:t>
      </w:r>
      <w:r w:rsidR="00640DA4">
        <w:rPr>
          <w:szCs w:val="22"/>
        </w:rPr>
        <w:t>,</w:t>
      </w:r>
      <w:r>
        <w:rPr>
          <w:szCs w:val="22"/>
        </w:rPr>
        <w:t xml:space="preserve"> there are no MRLs established for rodenticides in the Code. As there are no MRLs for </w:t>
      </w:r>
      <w:r w:rsidRPr="00A87792">
        <w:rPr>
          <w:szCs w:val="22"/>
        </w:rPr>
        <w:t>coumatetralyl or warfarin</w:t>
      </w:r>
      <w:r>
        <w:rPr>
          <w:szCs w:val="22"/>
        </w:rPr>
        <w:t xml:space="preserve"> in the Code, the proposed temporary risk management measures will facilitate trade in certain pork commodities that inadvertently contain residues at </w:t>
      </w:r>
      <w:r w:rsidR="00FC005A">
        <w:rPr>
          <w:szCs w:val="22"/>
        </w:rPr>
        <w:t xml:space="preserve">safe </w:t>
      </w:r>
      <w:r>
        <w:rPr>
          <w:szCs w:val="22"/>
        </w:rPr>
        <w:t xml:space="preserve">levels. </w:t>
      </w:r>
    </w:p>
    <w:p w14:paraId="512F37FB" w14:textId="52D7A1E8" w:rsidR="002C1A3B" w:rsidRPr="008C301D" w:rsidRDefault="002C1A3B" w:rsidP="002C1A3B">
      <w:pPr>
        <w:pStyle w:val="Heading2"/>
      </w:pPr>
      <w:bookmarkStart w:id="60" w:name="_Toc427156665"/>
      <w:r>
        <w:t>2</w:t>
      </w:r>
      <w:r w:rsidRPr="008C301D">
        <w:t>.</w:t>
      </w:r>
      <w:r>
        <w:t>4</w:t>
      </w:r>
      <w:r w:rsidRPr="008C301D">
        <w:tab/>
        <w:t>Risk communication</w:t>
      </w:r>
      <w:bookmarkEnd w:id="57"/>
      <w:bookmarkEnd w:id="58"/>
      <w:bookmarkEnd w:id="60"/>
      <w:r w:rsidRPr="008C301D">
        <w:t xml:space="preserve"> </w:t>
      </w:r>
    </w:p>
    <w:p w14:paraId="2CD92EFA" w14:textId="65885CBE" w:rsidR="00657640" w:rsidRPr="00657640" w:rsidRDefault="00657640" w:rsidP="00657640">
      <w:pPr>
        <w:pStyle w:val="Default"/>
        <w:rPr>
          <w:rFonts w:ascii="Arial" w:hAnsi="Arial" w:cs="Arial"/>
          <w:sz w:val="22"/>
          <w:szCs w:val="22"/>
        </w:rPr>
      </w:pPr>
      <w:r w:rsidRPr="00657640">
        <w:rPr>
          <w:rFonts w:ascii="Arial" w:hAnsi="Arial" w:cs="Arial"/>
          <w:sz w:val="22"/>
          <w:szCs w:val="22"/>
        </w:rPr>
        <w:t>FSANZ adopted a basic communication strategy for this Proposal, with a focus on alerting the community that changes to the Code are being contemplated.</w:t>
      </w:r>
    </w:p>
    <w:p w14:paraId="22EBFF9E" w14:textId="77777777" w:rsidR="00657640" w:rsidRPr="00657640" w:rsidRDefault="00657640" w:rsidP="00657640">
      <w:pPr>
        <w:pStyle w:val="Default"/>
        <w:rPr>
          <w:rFonts w:ascii="Arial" w:hAnsi="Arial" w:cs="Arial"/>
          <w:sz w:val="22"/>
          <w:szCs w:val="22"/>
          <w:highlight w:val="lightGray"/>
        </w:rPr>
      </w:pPr>
    </w:p>
    <w:p w14:paraId="52BA1F39" w14:textId="1C9696EB" w:rsidR="00657640" w:rsidRPr="00657640" w:rsidRDefault="00657640" w:rsidP="00657640">
      <w:pPr>
        <w:pStyle w:val="Default"/>
        <w:rPr>
          <w:rFonts w:ascii="Arial" w:hAnsi="Arial" w:cs="Arial"/>
          <w:sz w:val="22"/>
          <w:szCs w:val="22"/>
          <w:highlight w:val="lightGray"/>
        </w:rPr>
      </w:pPr>
      <w:r w:rsidRPr="00657640">
        <w:rPr>
          <w:rFonts w:ascii="Arial" w:hAnsi="Arial" w:cs="Arial"/>
          <w:sz w:val="22"/>
          <w:szCs w:val="22"/>
        </w:rPr>
        <w:lastRenderedPageBreak/>
        <w:t xml:space="preserve">FSANZ </w:t>
      </w:r>
      <w:r w:rsidR="00EE10A6">
        <w:rPr>
          <w:rFonts w:ascii="Arial" w:hAnsi="Arial" w:cs="Arial"/>
          <w:sz w:val="22"/>
          <w:szCs w:val="22"/>
        </w:rPr>
        <w:t xml:space="preserve">called for </w:t>
      </w:r>
      <w:r w:rsidRPr="00657640">
        <w:rPr>
          <w:rFonts w:ascii="Arial" w:hAnsi="Arial" w:cs="Arial"/>
          <w:sz w:val="22"/>
          <w:szCs w:val="22"/>
        </w:rPr>
        <w:t xml:space="preserve">public comment on the proposed changes to the Code outlined in this consultation document to help finalise the assessment. </w:t>
      </w:r>
      <w:r w:rsidR="00FC005A">
        <w:rPr>
          <w:rFonts w:ascii="Arial" w:hAnsi="Arial" w:cs="Arial"/>
          <w:sz w:val="22"/>
          <w:szCs w:val="22"/>
        </w:rPr>
        <w:t xml:space="preserve">Comments received are summarised in section 2.1 above. </w:t>
      </w:r>
    </w:p>
    <w:p w14:paraId="494CAAD8" w14:textId="77777777" w:rsidR="00657640" w:rsidRPr="00657640" w:rsidRDefault="00657640" w:rsidP="00657640">
      <w:pPr>
        <w:pStyle w:val="Default"/>
        <w:rPr>
          <w:rFonts w:ascii="Arial" w:hAnsi="Arial" w:cs="Arial"/>
          <w:sz w:val="22"/>
          <w:szCs w:val="22"/>
          <w:highlight w:val="lightGray"/>
        </w:rPr>
      </w:pPr>
    </w:p>
    <w:p w14:paraId="1D42F1D8" w14:textId="17C36C41" w:rsidR="00657640" w:rsidRPr="00657640" w:rsidRDefault="00657640" w:rsidP="00657640">
      <w:pPr>
        <w:pStyle w:val="Default"/>
        <w:rPr>
          <w:rFonts w:ascii="Arial" w:hAnsi="Arial" w:cs="Arial"/>
          <w:sz w:val="22"/>
          <w:szCs w:val="22"/>
        </w:rPr>
      </w:pPr>
      <w:r w:rsidRPr="00657640">
        <w:rPr>
          <w:rFonts w:ascii="Arial" w:hAnsi="Arial" w:cs="Arial"/>
          <w:sz w:val="22"/>
          <w:szCs w:val="22"/>
        </w:rPr>
        <w:t>FSANZ publishes details about proposed changes, submissions and subsequent reports on its website and issues a Notification Circular and media releases drawing attention to proposed Code amendments and calls for comment. Email alerts are sent to more than 5000 subscribers. Social media and FSANZ publications are also used to communicate calls for submissions.</w:t>
      </w:r>
    </w:p>
    <w:p w14:paraId="2C44A8FD" w14:textId="77777777" w:rsidR="00657640" w:rsidRPr="00657640" w:rsidRDefault="00657640" w:rsidP="00657640">
      <w:pPr>
        <w:pStyle w:val="Default"/>
        <w:rPr>
          <w:rFonts w:ascii="Arial" w:hAnsi="Arial" w:cs="Arial"/>
          <w:sz w:val="22"/>
          <w:szCs w:val="22"/>
          <w:highlight w:val="lightGray"/>
        </w:rPr>
      </w:pPr>
    </w:p>
    <w:p w14:paraId="6113AA41" w14:textId="79593A27" w:rsidR="00657640" w:rsidRPr="00657640" w:rsidRDefault="00657640" w:rsidP="00657640">
      <w:pPr>
        <w:pStyle w:val="Default"/>
        <w:rPr>
          <w:rFonts w:ascii="Arial" w:hAnsi="Arial" w:cs="Arial"/>
          <w:sz w:val="22"/>
          <w:szCs w:val="22"/>
        </w:rPr>
      </w:pPr>
      <w:r w:rsidRPr="00657640">
        <w:rPr>
          <w:rFonts w:ascii="Arial" w:hAnsi="Arial" w:cs="Arial"/>
          <w:sz w:val="22"/>
          <w:szCs w:val="22"/>
        </w:rPr>
        <w:t xml:space="preserve">Individuals and organisations making submissions on this Proposal </w:t>
      </w:r>
      <w:r w:rsidR="00EE10A6">
        <w:rPr>
          <w:rFonts w:ascii="Arial" w:hAnsi="Arial" w:cs="Arial"/>
          <w:sz w:val="22"/>
          <w:szCs w:val="22"/>
        </w:rPr>
        <w:t xml:space="preserve">are </w:t>
      </w:r>
      <w:r w:rsidRPr="00657640">
        <w:rPr>
          <w:rFonts w:ascii="Arial" w:hAnsi="Arial" w:cs="Arial"/>
          <w:sz w:val="22"/>
          <w:szCs w:val="22"/>
        </w:rPr>
        <w:t xml:space="preserve">notified at each stage of the assessment. </w:t>
      </w:r>
    </w:p>
    <w:p w14:paraId="3AF2A88C" w14:textId="77777777" w:rsidR="00657640" w:rsidRPr="00EE10A6" w:rsidRDefault="00657640" w:rsidP="00657640">
      <w:pPr>
        <w:pStyle w:val="Heading3"/>
      </w:pPr>
      <w:bookmarkStart w:id="61" w:name="_Toc300933437"/>
      <w:bookmarkStart w:id="62" w:name="_Toc370223475"/>
      <w:bookmarkStart w:id="63" w:name="_Toc370225390"/>
      <w:bookmarkStart w:id="64" w:name="_Toc427156666"/>
      <w:r w:rsidRPr="00EE10A6">
        <w:t>2.4.1</w:t>
      </w:r>
      <w:r w:rsidRPr="00EE10A6">
        <w:tab/>
        <w:t>Consultation</w:t>
      </w:r>
      <w:bookmarkEnd w:id="61"/>
      <w:bookmarkEnd w:id="62"/>
      <w:bookmarkEnd w:id="63"/>
      <w:bookmarkEnd w:id="64"/>
    </w:p>
    <w:p w14:paraId="57700F81" w14:textId="1F3C33FA" w:rsidR="00657640" w:rsidRDefault="00657640" w:rsidP="00657640">
      <w:pPr>
        <w:rPr>
          <w:szCs w:val="22"/>
        </w:rPr>
      </w:pPr>
      <w:r w:rsidRPr="00EE10A6">
        <w:rPr>
          <w:szCs w:val="22"/>
        </w:rPr>
        <w:t xml:space="preserve">Consultation </w:t>
      </w:r>
      <w:r w:rsidRPr="004A45DF">
        <w:rPr>
          <w:szCs w:val="22"/>
        </w:rPr>
        <w:t xml:space="preserve">is a key part of FSANZ’s standards development process. </w:t>
      </w:r>
      <w:r>
        <w:rPr>
          <w:szCs w:val="22"/>
        </w:rPr>
        <w:t>FSANZ’s consideration of M1012 include</w:t>
      </w:r>
      <w:r w:rsidR="00FC005A">
        <w:rPr>
          <w:szCs w:val="22"/>
        </w:rPr>
        <w:t>d</w:t>
      </w:r>
      <w:r>
        <w:rPr>
          <w:szCs w:val="22"/>
        </w:rPr>
        <w:t xml:space="preserve"> one round of public consultation following </w:t>
      </w:r>
      <w:r w:rsidR="00FC005A">
        <w:rPr>
          <w:szCs w:val="22"/>
        </w:rPr>
        <w:t xml:space="preserve">the </w:t>
      </w:r>
      <w:r>
        <w:rPr>
          <w:szCs w:val="22"/>
        </w:rPr>
        <w:t xml:space="preserve">assessment and the preparation of </w:t>
      </w:r>
      <w:r w:rsidR="00FC005A">
        <w:rPr>
          <w:szCs w:val="22"/>
        </w:rPr>
        <w:t xml:space="preserve">the </w:t>
      </w:r>
      <w:r>
        <w:rPr>
          <w:szCs w:val="22"/>
        </w:rPr>
        <w:t xml:space="preserve">draft variation to Standard 1.4.2 and associated report. </w:t>
      </w:r>
    </w:p>
    <w:p w14:paraId="68D4F7CE" w14:textId="77777777" w:rsidR="00A915F4" w:rsidRDefault="00A915F4" w:rsidP="00657640">
      <w:pPr>
        <w:rPr>
          <w:szCs w:val="22"/>
        </w:rPr>
      </w:pPr>
    </w:p>
    <w:p w14:paraId="010FB9AF" w14:textId="32B6EB0A" w:rsidR="00657640" w:rsidRPr="004A45DF" w:rsidRDefault="00657640" w:rsidP="00657640">
      <w:pPr>
        <w:rPr>
          <w:szCs w:val="22"/>
        </w:rPr>
      </w:pPr>
      <w:r w:rsidRPr="00036247">
        <w:rPr>
          <w:szCs w:val="22"/>
        </w:rPr>
        <w:t xml:space="preserve">FSANZ </w:t>
      </w:r>
      <w:r w:rsidRPr="004A45DF">
        <w:rPr>
          <w:szCs w:val="22"/>
        </w:rPr>
        <w:t>acknowledges the time taken by individuals and organisations to make submissions on this Proposal. Every submission on</w:t>
      </w:r>
      <w:r w:rsidR="00A915F4">
        <w:rPr>
          <w:szCs w:val="22"/>
        </w:rPr>
        <w:t xml:space="preserve"> the </w:t>
      </w:r>
      <w:r w:rsidRPr="004A45DF">
        <w:rPr>
          <w:szCs w:val="22"/>
        </w:rPr>
        <w:t>proposal</w:t>
      </w:r>
      <w:r>
        <w:rPr>
          <w:szCs w:val="22"/>
        </w:rPr>
        <w:t xml:space="preserve"> w</w:t>
      </w:r>
      <w:r w:rsidR="00A915F4">
        <w:rPr>
          <w:szCs w:val="22"/>
        </w:rPr>
        <w:t xml:space="preserve">as </w:t>
      </w:r>
      <w:r>
        <w:rPr>
          <w:szCs w:val="22"/>
        </w:rPr>
        <w:t>c</w:t>
      </w:r>
      <w:r w:rsidRPr="004A45DF">
        <w:rPr>
          <w:szCs w:val="22"/>
        </w:rPr>
        <w:t xml:space="preserve">onsidered by the FSANZ Board. All comments are valued and contribute to the rigour of our assessment. </w:t>
      </w:r>
    </w:p>
    <w:p w14:paraId="206317BB" w14:textId="77777777" w:rsidR="002C1A3B" w:rsidRPr="005F61BE" w:rsidRDefault="002C1A3B" w:rsidP="002C1A3B">
      <w:pPr>
        <w:pStyle w:val="Heading3"/>
      </w:pPr>
      <w:bookmarkStart w:id="65" w:name="_Toc370225391"/>
      <w:bookmarkStart w:id="66" w:name="_Toc175381455"/>
      <w:bookmarkStart w:id="67" w:name="_Toc427156667"/>
      <w:bookmarkEnd w:id="31"/>
      <w:bookmarkEnd w:id="32"/>
      <w:bookmarkEnd w:id="33"/>
      <w:bookmarkEnd w:id="34"/>
      <w:bookmarkEnd w:id="35"/>
      <w:bookmarkEnd w:id="36"/>
      <w:bookmarkEnd w:id="59"/>
      <w:r w:rsidRPr="005F61BE">
        <w:t>2.4.2</w:t>
      </w:r>
      <w:r w:rsidRPr="005F61BE">
        <w:tab/>
        <w:t>World Trade Organization (WTO)</w:t>
      </w:r>
      <w:bookmarkEnd w:id="65"/>
      <w:bookmarkEnd w:id="67"/>
    </w:p>
    <w:p w14:paraId="14921C6E" w14:textId="759FC570" w:rsidR="002C1A3B" w:rsidRPr="005F61BE" w:rsidRDefault="002C1A3B" w:rsidP="002C1A3B">
      <w:pPr>
        <w:rPr>
          <w:rFonts w:cs="Arial"/>
        </w:rPr>
      </w:pPr>
      <w:r w:rsidRPr="005F61BE">
        <w:rPr>
          <w:rFonts w:cs="Arial"/>
        </w:rPr>
        <w:t xml:space="preserve">As members of the WTO, Australia </w:t>
      </w:r>
      <w:r w:rsidR="004B272E">
        <w:rPr>
          <w:rFonts w:cs="Arial"/>
        </w:rPr>
        <w:t>is</w:t>
      </w:r>
      <w:r w:rsidRPr="005F61BE">
        <w:rPr>
          <w:rFonts w:cs="Arial"/>
        </w:rPr>
        <w:t xml:space="preserve"> obligated to notify WTO member nations where proposed mandatory regulatory measures are inconsistent with any existing or imminent international standards and the proposed measure may have a significant effect on trade.</w:t>
      </w:r>
    </w:p>
    <w:p w14:paraId="445963FB" w14:textId="77777777" w:rsidR="002C1A3B" w:rsidRPr="005F61BE" w:rsidRDefault="002C1A3B" w:rsidP="002C1A3B">
      <w:pPr>
        <w:rPr>
          <w:rFonts w:cs="Arial"/>
        </w:rPr>
      </w:pPr>
    </w:p>
    <w:p w14:paraId="345D5A9E" w14:textId="7BB5200B" w:rsidR="002C1A3B" w:rsidRPr="00B73B62" w:rsidRDefault="002C1A3B" w:rsidP="002C1A3B">
      <w:pPr>
        <w:rPr>
          <w:strike/>
          <w:noProof/>
        </w:rPr>
      </w:pPr>
      <w:r w:rsidRPr="005F61BE">
        <w:rPr>
          <w:noProof/>
        </w:rPr>
        <w:t xml:space="preserve">FSANZ made a notification to the WTO for this Proposal in accordance with the WTO Agreement on the Application of </w:t>
      </w:r>
      <w:r w:rsidR="004B272E">
        <w:rPr>
          <w:noProof/>
        </w:rPr>
        <w:t>S</w:t>
      </w:r>
      <w:r w:rsidRPr="005F61BE">
        <w:rPr>
          <w:noProof/>
        </w:rPr>
        <w:t xml:space="preserve">anitary and </w:t>
      </w:r>
      <w:r w:rsidR="004B272E">
        <w:rPr>
          <w:noProof/>
        </w:rPr>
        <w:t>P</w:t>
      </w:r>
      <w:r w:rsidRPr="005F61BE">
        <w:rPr>
          <w:noProof/>
        </w:rPr>
        <w:t xml:space="preserve">hytosanitary </w:t>
      </w:r>
      <w:r w:rsidR="004B272E">
        <w:rPr>
          <w:noProof/>
        </w:rPr>
        <w:t>M</w:t>
      </w:r>
      <w:r w:rsidRPr="005F61BE">
        <w:rPr>
          <w:noProof/>
        </w:rPr>
        <w:t>easures. No member nation provided comment on this Proposal</w:t>
      </w:r>
      <w:r w:rsidR="005F61BE" w:rsidRPr="005F61BE">
        <w:rPr>
          <w:noProof/>
        </w:rPr>
        <w:t>.</w:t>
      </w:r>
      <w:r w:rsidRPr="005F61BE">
        <w:rPr>
          <w:noProof/>
        </w:rPr>
        <w:t xml:space="preserve"> </w:t>
      </w:r>
    </w:p>
    <w:p w14:paraId="7C6A2F58" w14:textId="77777777" w:rsidR="002C1A3B" w:rsidRPr="002C1A3B" w:rsidRDefault="002C1A3B" w:rsidP="002C1A3B">
      <w:pPr>
        <w:pStyle w:val="Heading2"/>
      </w:pPr>
      <w:bookmarkStart w:id="68" w:name="_Toc370223477"/>
      <w:bookmarkStart w:id="69" w:name="_Toc370225392"/>
      <w:bookmarkStart w:id="70" w:name="_Toc309291816"/>
      <w:bookmarkStart w:id="71" w:name="_Toc300933448"/>
      <w:bookmarkStart w:id="72" w:name="_Toc300933577"/>
      <w:bookmarkStart w:id="73" w:name="_Toc301535601"/>
      <w:bookmarkStart w:id="74" w:name="_Toc309385464"/>
      <w:bookmarkStart w:id="75" w:name="_Toc175381456"/>
      <w:bookmarkStart w:id="76" w:name="_Toc427156668"/>
      <w:bookmarkEnd w:id="66"/>
      <w:r w:rsidRPr="002C1A3B">
        <w:t>2.5</w:t>
      </w:r>
      <w:r w:rsidRPr="002C1A3B">
        <w:tab/>
        <w:t>FSANZ Act assessment requirements</w:t>
      </w:r>
      <w:bookmarkEnd w:id="68"/>
      <w:bookmarkEnd w:id="69"/>
      <w:bookmarkEnd w:id="76"/>
    </w:p>
    <w:bookmarkEnd w:id="70"/>
    <w:bookmarkEnd w:id="71"/>
    <w:bookmarkEnd w:id="72"/>
    <w:bookmarkEnd w:id="73"/>
    <w:bookmarkEnd w:id="74"/>
    <w:p w14:paraId="539FD8B2" w14:textId="77777777" w:rsidR="00E647BA" w:rsidRPr="009456AE" w:rsidRDefault="00E647BA" w:rsidP="00E647BA">
      <w:r w:rsidRPr="009456AE">
        <w:t xml:space="preserve">When assessing this Proposal and the subsequent development of a food regulatory measure, FSANZ has had regard to the </w:t>
      </w:r>
      <w:r w:rsidRPr="009456AE" w:rsidDel="00932F14">
        <w:t xml:space="preserve">following </w:t>
      </w:r>
      <w:r w:rsidRPr="009456AE">
        <w:t>matters in section 59 of the FSANZ Act:</w:t>
      </w:r>
    </w:p>
    <w:p w14:paraId="18722FA6" w14:textId="77777777" w:rsidR="00E647BA" w:rsidRPr="002C1A3B" w:rsidRDefault="00E647BA" w:rsidP="00E647BA">
      <w:pPr>
        <w:pStyle w:val="Heading3"/>
      </w:pPr>
      <w:bookmarkStart w:id="77" w:name="_Toc370223478"/>
      <w:bookmarkStart w:id="78" w:name="_Toc370225393"/>
      <w:bookmarkStart w:id="79" w:name="_Toc427156669"/>
      <w:r w:rsidRPr="002C1A3B">
        <w:t>2.5.1</w:t>
      </w:r>
      <w:r w:rsidRPr="002C1A3B">
        <w:tab/>
        <w:t xml:space="preserve">Section </w:t>
      </w:r>
      <w:r w:rsidRPr="00E647BA">
        <w:t>59</w:t>
      </w:r>
      <w:bookmarkEnd w:id="77"/>
      <w:bookmarkEnd w:id="78"/>
      <w:bookmarkEnd w:id="79"/>
    </w:p>
    <w:p w14:paraId="6F9AB577" w14:textId="77777777" w:rsidR="00E647BA" w:rsidRPr="002C1A3B" w:rsidRDefault="00E647BA" w:rsidP="00E647BA">
      <w:pPr>
        <w:pStyle w:val="Heading4"/>
      </w:pPr>
      <w:r w:rsidRPr="002C1A3B">
        <w:t>2.5.1.1</w:t>
      </w:r>
      <w:r w:rsidRPr="002C1A3B">
        <w:tab/>
        <w:t>Cost benefit analysis</w:t>
      </w:r>
    </w:p>
    <w:p w14:paraId="16E5A707" w14:textId="6E9B4C44" w:rsidR="002C1A3B" w:rsidRPr="00B73B62" w:rsidRDefault="00FC005A" w:rsidP="002C1A3B">
      <w:r>
        <w:t xml:space="preserve">FSANZ is required to have regard to whether the </w:t>
      </w:r>
      <w:r w:rsidR="0099623A">
        <w:t xml:space="preserve">direct and indirect benefits </w:t>
      </w:r>
      <w:r w:rsidR="0099623A" w:rsidRPr="00914030">
        <w:t xml:space="preserve">that would arise from a food regulatory measure developed or varied as a result of </w:t>
      </w:r>
      <w:r w:rsidR="0099623A" w:rsidRPr="00B73B62">
        <w:t xml:space="preserve">the proposal </w:t>
      </w:r>
      <w:r>
        <w:t xml:space="preserve">will </w:t>
      </w:r>
      <w:r w:rsidR="0099623A" w:rsidRPr="00B73B62">
        <w:t>outweigh the costs to the community, Government or industry that would arise from the development or variation of the food regulatory measure.</w:t>
      </w:r>
    </w:p>
    <w:p w14:paraId="034587CC" w14:textId="77777777" w:rsidR="0099623A" w:rsidRPr="00B73B62" w:rsidRDefault="0099623A" w:rsidP="002C1A3B"/>
    <w:p w14:paraId="4D17A2AC" w14:textId="77777777" w:rsidR="00E647BA" w:rsidRPr="00E647BA" w:rsidRDefault="00E647BA" w:rsidP="00E647BA">
      <w:pPr>
        <w:pStyle w:val="Default"/>
        <w:rPr>
          <w:rFonts w:ascii="Arial" w:hAnsi="Arial" w:cs="Arial"/>
          <w:sz w:val="22"/>
          <w:szCs w:val="22"/>
        </w:rPr>
      </w:pPr>
      <w:r w:rsidRPr="00B73B62">
        <w:rPr>
          <w:rFonts w:ascii="Arial" w:hAnsi="Arial" w:cs="Arial"/>
          <w:color w:val="auto"/>
          <w:sz w:val="22"/>
          <w:szCs w:val="22"/>
        </w:rPr>
        <w:t xml:space="preserve">A Regulation Impact Statement is not required because the proposed variations to Standard 1.4.2 are minor and do not substantially alter existing arrangements. In 2010, the Office of Best </w:t>
      </w:r>
      <w:r w:rsidRPr="00E647BA">
        <w:rPr>
          <w:rFonts w:ascii="Arial" w:hAnsi="Arial" w:cs="Arial"/>
          <w:sz w:val="22"/>
          <w:szCs w:val="22"/>
        </w:rPr>
        <w:t xml:space="preserve">Practice Regulation provided a standing exemption from the need to assess if a Regulation Impact Statement is required for applications relating to MRLs as they are machinery in nature and their use is voluntary. </w:t>
      </w:r>
    </w:p>
    <w:p w14:paraId="1EC880EB" w14:textId="77777777" w:rsidR="00E647BA" w:rsidRPr="00E647BA" w:rsidRDefault="00E647BA" w:rsidP="00E647BA">
      <w:pPr>
        <w:pStyle w:val="Default"/>
        <w:rPr>
          <w:rFonts w:ascii="Arial" w:hAnsi="Arial" w:cs="Arial"/>
          <w:sz w:val="22"/>
          <w:szCs w:val="22"/>
        </w:rPr>
      </w:pPr>
    </w:p>
    <w:p w14:paraId="59C7F9C7" w14:textId="77777777" w:rsidR="004A4DC2" w:rsidRDefault="004A4DC2" w:rsidP="00E647BA">
      <w:pPr>
        <w:pStyle w:val="Default"/>
        <w:rPr>
          <w:rFonts w:ascii="Arial" w:hAnsi="Arial" w:cs="Arial"/>
          <w:sz w:val="22"/>
          <w:szCs w:val="22"/>
        </w:rPr>
      </w:pPr>
      <w:r>
        <w:rPr>
          <w:rFonts w:ascii="Arial" w:hAnsi="Arial" w:cs="Arial"/>
          <w:sz w:val="22"/>
          <w:szCs w:val="22"/>
        </w:rPr>
        <w:br w:type="page"/>
      </w:r>
    </w:p>
    <w:p w14:paraId="0D068872" w14:textId="1737FBEA" w:rsidR="00E647BA" w:rsidRPr="00E647BA" w:rsidRDefault="00E647BA" w:rsidP="00E647BA">
      <w:pPr>
        <w:pStyle w:val="Default"/>
        <w:rPr>
          <w:rFonts w:ascii="Arial" w:hAnsi="Arial" w:cs="Arial"/>
          <w:sz w:val="22"/>
          <w:szCs w:val="22"/>
        </w:rPr>
      </w:pPr>
      <w:r w:rsidRPr="00E647BA">
        <w:rPr>
          <w:rFonts w:ascii="Arial" w:hAnsi="Arial" w:cs="Arial"/>
          <w:sz w:val="22"/>
          <w:szCs w:val="22"/>
        </w:rPr>
        <w:lastRenderedPageBreak/>
        <w:t xml:space="preserve">A limited impact analysis on different stakeholders is provided below. This indicates that the direct and indirect benefits that would arise from the proposed MRL variations outweigh the costs to the community, government or industry that would arise from their development or making. </w:t>
      </w:r>
    </w:p>
    <w:p w14:paraId="4EAD456B" w14:textId="77777777" w:rsidR="00E647BA" w:rsidRPr="00E647BA" w:rsidRDefault="00E647BA" w:rsidP="00E647BA">
      <w:pPr>
        <w:pStyle w:val="Default"/>
        <w:rPr>
          <w:rFonts w:ascii="Arial" w:hAnsi="Arial" w:cs="Arial"/>
          <w:sz w:val="22"/>
          <w:szCs w:val="22"/>
          <w:highlight w:val="lightGray"/>
        </w:rPr>
      </w:pPr>
    </w:p>
    <w:p w14:paraId="6E6199EE" w14:textId="6A147DAB" w:rsidR="00E647BA" w:rsidRPr="00E647BA" w:rsidRDefault="00E647BA" w:rsidP="00E647BA">
      <w:pPr>
        <w:pStyle w:val="Default"/>
        <w:rPr>
          <w:rFonts w:ascii="Arial" w:hAnsi="Arial" w:cs="Arial"/>
          <w:sz w:val="22"/>
          <w:szCs w:val="22"/>
        </w:rPr>
      </w:pPr>
      <w:r w:rsidRPr="00E647BA">
        <w:rPr>
          <w:rFonts w:ascii="Arial" w:hAnsi="Arial" w:cs="Arial"/>
          <w:sz w:val="22"/>
          <w:szCs w:val="22"/>
        </w:rPr>
        <w:t xml:space="preserve">The proposed MRL variations benefit Australian Government, state and territory agencies, growers and producers, in that they serve to further harmonise agricultural and food standards. Achieving further consistency between agricultural and food legislation will minimise compliance costs to primary producers and assist in efficient enforcement of regulations. </w:t>
      </w:r>
      <w:r w:rsidR="00FC005A">
        <w:rPr>
          <w:rFonts w:ascii="Arial" w:hAnsi="Arial" w:cs="Arial"/>
          <w:sz w:val="22"/>
          <w:szCs w:val="22"/>
        </w:rPr>
        <w:t>Consumer safety is also preserved.</w:t>
      </w:r>
    </w:p>
    <w:p w14:paraId="02B21AD2" w14:textId="67CE5C3E" w:rsidR="002C1A3B" w:rsidRPr="002C1A3B" w:rsidRDefault="002C1A3B" w:rsidP="002C1A3B">
      <w:pPr>
        <w:pStyle w:val="Heading4"/>
      </w:pPr>
      <w:r w:rsidRPr="002C1A3B">
        <w:t>2.5.1.2</w:t>
      </w:r>
      <w:r w:rsidRPr="002C1A3B">
        <w:tab/>
        <w:t>Other measures</w:t>
      </w:r>
    </w:p>
    <w:p w14:paraId="05BB9F91" w14:textId="2432A645" w:rsidR="002C1A3B" w:rsidRPr="007C532D" w:rsidRDefault="002C1A3B" w:rsidP="002C1A3B">
      <w:r w:rsidRPr="007C532D">
        <w:t>There are no other measures (whether available to FSANZ or not) that would be more cost</w:t>
      </w:r>
      <w:r w:rsidR="00FC005A">
        <w:noBreakHyphen/>
      </w:r>
      <w:r w:rsidRPr="007C532D">
        <w:t>effective than a food regulatory measure developed or varied as a result of the Proposal.</w:t>
      </w:r>
    </w:p>
    <w:p w14:paraId="09E536C7" w14:textId="77777777" w:rsidR="002C1A3B" w:rsidRPr="002C1A3B" w:rsidRDefault="002C1A3B" w:rsidP="002C1A3B">
      <w:pPr>
        <w:pStyle w:val="Heading4"/>
      </w:pPr>
      <w:r w:rsidRPr="002C1A3B">
        <w:t>2.5.1.3</w:t>
      </w:r>
      <w:r w:rsidRPr="002C1A3B">
        <w:tab/>
        <w:t>Any relevant New Zealand standards</w:t>
      </w:r>
    </w:p>
    <w:p w14:paraId="560E88AB" w14:textId="77777777" w:rsidR="007C532D" w:rsidRPr="007C532D" w:rsidRDefault="007C532D" w:rsidP="007C532D">
      <w:pPr>
        <w:pStyle w:val="Default"/>
        <w:rPr>
          <w:rFonts w:ascii="Arial" w:hAnsi="Arial" w:cs="Arial"/>
          <w:sz w:val="22"/>
          <w:szCs w:val="22"/>
        </w:rPr>
      </w:pPr>
      <w:r w:rsidRPr="007C532D">
        <w:rPr>
          <w:rFonts w:ascii="Arial" w:hAnsi="Arial" w:cs="Arial"/>
          <w:sz w:val="22"/>
          <w:szCs w:val="22"/>
        </w:rPr>
        <w:t xml:space="preserve">The </w:t>
      </w:r>
      <w:r w:rsidRPr="007C532D">
        <w:rPr>
          <w:rFonts w:ascii="Arial" w:hAnsi="Arial" w:cs="Arial"/>
          <w:i/>
          <w:iCs/>
          <w:sz w:val="22"/>
          <w:szCs w:val="22"/>
        </w:rPr>
        <w:t xml:space="preserve">Agreement between the Government of Australia and the Government of New Zealand concerning a Joint Food Standards System </w:t>
      </w:r>
      <w:r w:rsidRPr="007C532D">
        <w:rPr>
          <w:rFonts w:ascii="Arial" w:hAnsi="Arial" w:cs="Arial"/>
          <w:sz w:val="22"/>
          <w:szCs w:val="22"/>
        </w:rPr>
        <w:t xml:space="preserve">(the Treaty) excludes MRLs for agvet chemicals in food from the system setting joint food standards. Australia and New Zealand independently and separately develop MRLs for agvet chemicals in food. </w:t>
      </w:r>
    </w:p>
    <w:p w14:paraId="069DF0F3" w14:textId="77777777" w:rsidR="007C532D" w:rsidRPr="007C532D" w:rsidRDefault="007C532D" w:rsidP="007C532D">
      <w:pPr>
        <w:pStyle w:val="Default"/>
        <w:rPr>
          <w:rFonts w:ascii="Arial" w:hAnsi="Arial" w:cs="Arial"/>
          <w:sz w:val="22"/>
          <w:szCs w:val="22"/>
          <w:highlight w:val="lightGray"/>
        </w:rPr>
      </w:pPr>
    </w:p>
    <w:p w14:paraId="7431522C" w14:textId="77777777" w:rsidR="007C532D" w:rsidRPr="007C532D" w:rsidRDefault="007C532D" w:rsidP="007C532D">
      <w:pPr>
        <w:pStyle w:val="Default"/>
        <w:rPr>
          <w:rFonts w:ascii="Arial" w:hAnsi="Arial" w:cs="Arial"/>
          <w:sz w:val="22"/>
          <w:szCs w:val="22"/>
        </w:rPr>
      </w:pPr>
      <w:r w:rsidRPr="007C532D">
        <w:rPr>
          <w:rFonts w:ascii="Arial" w:hAnsi="Arial" w:cs="Arial"/>
          <w:sz w:val="22"/>
          <w:szCs w:val="22"/>
        </w:rPr>
        <w:t xml:space="preserve">All domestically produced food sold in New Zealand must comply with the New Zealand (Maximum Residue Limits of Agricultural Compounds) Food Standards 2012 and any amendments (the New Zealand MRL Standards). If food is imported into New Zealand, such food must comply either with the New Zealand MRL Standards or with Codex MRLs (except for food imported from Australia). </w:t>
      </w:r>
    </w:p>
    <w:p w14:paraId="232A4F28" w14:textId="77777777" w:rsidR="007C532D" w:rsidRPr="007C532D" w:rsidRDefault="007C532D" w:rsidP="007C532D">
      <w:pPr>
        <w:pStyle w:val="Default"/>
        <w:rPr>
          <w:rFonts w:ascii="Arial" w:hAnsi="Arial" w:cs="Arial"/>
          <w:sz w:val="22"/>
          <w:szCs w:val="22"/>
          <w:highlight w:val="lightGray"/>
        </w:rPr>
      </w:pPr>
    </w:p>
    <w:p w14:paraId="292B7E09" w14:textId="77777777" w:rsidR="007C532D" w:rsidRPr="007C532D" w:rsidRDefault="007C532D" w:rsidP="007C532D">
      <w:pPr>
        <w:pStyle w:val="Default"/>
        <w:rPr>
          <w:rFonts w:ascii="Arial" w:hAnsi="Arial" w:cs="Arial"/>
          <w:sz w:val="22"/>
          <w:szCs w:val="22"/>
        </w:rPr>
      </w:pPr>
      <w:r w:rsidRPr="007C532D">
        <w:rPr>
          <w:rFonts w:ascii="Arial" w:hAnsi="Arial" w:cs="Arial"/>
          <w:sz w:val="22"/>
          <w:szCs w:val="22"/>
        </w:rPr>
        <w:t xml:space="preserve">Under the New Zealand MRL Standards, agricultural chemical residues in food must comply with the specific MRLs listed in the Standards. The New Zealand MRL Standards also include a provision for residues of up to 0.1 mg/kg for agricultural chemical/commodity combinations not specifically listed. </w:t>
      </w:r>
    </w:p>
    <w:p w14:paraId="048EE435" w14:textId="77777777" w:rsidR="007C532D" w:rsidRPr="007C532D" w:rsidRDefault="007C532D" w:rsidP="007C532D">
      <w:pPr>
        <w:pStyle w:val="Default"/>
        <w:rPr>
          <w:rFonts w:ascii="Arial" w:hAnsi="Arial" w:cs="Arial"/>
          <w:sz w:val="22"/>
          <w:szCs w:val="22"/>
        </w:rPr>
      </w:pPr>
    </w:p>
    <w:p w14:paraId="78D57CEC" w14:textId="77777777" w:rsidR="007C532D" w:rsidRPr="007C532D" w:rsidRDefault="007C532D" w:rsidP="007C532D">
      <w:pPr>
        <w:pStyle w:val="Default"/>
        <w:rPr>
          <w:rFonts w:ascii="Arial" w:hAnsi="Arial" w:cs="Arial"/>
          <w:color w:val="auto"/>
          <w:sz w:val="22"/>
          <w:szCs w:val="22"/>
        </w:rPr>
      </w:pPr>
      <w:r w:rsidRPr="007C532D">
        <w:rPr>
          <w:rFonts w:ascii="Arial" w:hAnsi="Arial" w:cs="Arial"/>
          <w:color w:val="auto"/>
          <w:sz w:val="22"/>
          <w:szCs w:val="22"/>
        </w:rPr>
        <w:t xml:space="preserve">Further information about the New Zealand MRL Standards is available on the New Zealand Ministry for Primary Industries website at </w:t>
      </w:r>
      <w:hyperlink r:id="rId19" w:history="1">
        <w:r w:rsidRPr="007C532D">
          <w:rPr>
            <w:rStyle w:val="Hyperlink"/>
            <w:rFonts w:ascii="Arial" w:hAnsi="Arial" w:cs="Arial"/>
            <w:sz w:val="22"/>
            <w:szCs w:val="22"/>
          </w:rPr>
          <w:t>http://www.foodsafety.govt.nz/industry/sectors/plant-products/pesticide-mrl/</w:t>
        </w:r>
      </w:hyperlink>
      <w:r w:rsidRPr="007C532D">
        <w:rPr>
          <w:rFonts w:ascii="Arial" w:hAnsi="Arial" w:cs="Arial"/>
          <w:color w:val="auto"/>
          <w:sz w:val="22"/>
          <w:szCs w:val="22"/>
        </w:rPr>
        <w:t>.</w:t>
      </w:r>
    </w:p>
    <w:p w14:paraId="14DACA26" w14:textId="77777777" w:rsidR="00114A10" w:rsidRDefault="00114A10" w:rsidP="007C532D">
      <w:pPr>
        <w:rPr>
          <w:szCs w:val="22"/>
        </w:rPr>
      </w:pPr>
    </w:p>
    <w:p w14:paraId="297E9094" w14:textId="77777777" w:rsidR="007C532D" w:rsidRDefault="007C532D" w:rsidP="007C532D">
      <w:pPr>
        <w:rPr>
          <w:lang w:bidi="ar-SA"/>
        </w:rPr>
      </w:pPr>
      <w:r w:rsidRPr="004544F5">
        <w:rPr>
          <w:szCs w:val="22"/>
        </w:rPr>
        <w:t>Limits in the Code and in the New Zealand MRL Standards may differ for a number of legitimate reasons including differing use patterns for chemical products as a result of varying pest and disease pressures and varying climatic conditions.</w:t>
      </w:r>
    </w:p>
    <w:p w14:paraId="113E3F9C" w14:textId="77777777" w:rsidR="002C1A3B" w:rsidRPr="002C1A3B" w:rsidRDefault="002C1A3B" w:rsidP="002C1A3B">
      <w:pPr>
        <w:pStyle w:val="Heading4"/>
      </w:pPr>
      <w:r w:rsidRPr="002C1A3B">
        <w:t>2.5.1.4</w:t>
      </w:r>
      <w:r w:rsidRPr="002C1A3B">
        <w:tab/>
        <w:t>Any other relevant matters</w:t>
      </w:r>
    </w:p>
    <w:p w14:paraId="1C1AEC5C" w14:textId="09953F29" w:rsidR="002C1A3B" w:rsidRPr="002C1A3B" w:rsidRDefault="00FC005A" w:rsidP="002C1A3B">
      <w:pPr>
        <w:rPr>
          <w:lang w:bidi="ar-SA"/>
        </w:rPr>
      </w:pPr>
      <w:r>
        <w:rPr>
          <w:lang w:bidi="ar-SA"/>
        </w:rPr>
        <w:t>Other relevant matters are considered below</w:t>
      </w:r>
      <w:r w:rsidR="002C1A3B" w:rsidRPr="002C1A3B">
        <w:rPr>
          <w:lang w:bidi="ar-SA"/>
        </w:rPr>
        <w:t>.</w:t>
      </w:r>
    </w:p>
    <w:p w14:paraId="4FEA5119" w14:textId="26FAE42D" w:rsidR="002C1A3B" w:rsidRPr="002C1A3B" w:rsidRDefault="004517CD" w:rsidP="002C1A3B">
      <w:pPr>
        <w:pStyle w:val="Heading3"/>
      </w:pPr>
      <w:bookmarkStart w:id="80" w:name="_Toc370223479"/>
      <w:bookmarkStart w:id="81" w:name="_Toc370225394"/>
      <w:bookmarkStart w:id="82" w:name="_Toc300761897"/>
      <w:bookmarkStart w:id="83" w:name="_Toc300933440"/>
      <w:bookmarkStart w:id="84" w:name="_Toc427156670"/>
      <w:r>
        <w:t>2.5.2</w:t>
      </w:r>
      <w:r w:rsidR="002C1A3B" w:rsidRPr="002C1A3B">
        <w:tab/>
        <w:t>Subsection 18(1)</w:t>
      </w:r>
      <w:bookmarkEnd w:id="80"/>
      <w:bookmarkEnd w:id="81"/>
      <w:bookmarkEnd w:id="84"/>
      <w:r w:rsidR="002C1A3B" w:rsidRPr="002C1A3B">
        <w:t xml:space="preserve"> </w:t>
      </w:r>
      <w:bookmarkEnd w:id="82"/>
      <w:bookmarkEnd w:id="83"/>
    </w:p>
    <w:p w14:paraId="6B361774" w14:textId="4F55B685" w:rsidR="002C1A3B" w:rsidRPr="002C1A3B" w:rsidRDefault="002C1A3B" w:rsidP="002C1A3B">
      <w:r w:rsidRPr="002C1A3B">
        <w:rPr>
          <w:rFonts w:cs="Arial"/>
        </w:rPr>
        <w:t xml:space="preserve">FSANZ </w:t>
      </w:r>
      <w:r w:rsidR="00FC005A">
        <w:t>had regard to</w:t>
      </w:r>
      <w:r w:rsidR="00FC005A" w:rsidRPr="002C1A3B">
        <w:t xml:space="preserve"> </w:t>
      </w:r>
      <w:r w:rsidRPr="002C1A3B">
        <w:t>the three objectives in subsection 18(1) of the FSANZ Act during the assessment.</w:t>
      </w:r>
    </w:p>
    <w:p w14:paraId="269F281F" w14:textId="77777777" w:rsidR="004A4DC2" w:rsidRDefault="004A4DC2" w:rsidP="002C1A3B">
      <w:pPr>
        <w:pStyle w:val="Heading4"/>
        <w:rPr>
          <w:lang w:eastAsia="en-AU"/>
        </w:rPr>
      </w:pPr>
      <w:bookmarkStart w:id="85" w:name="_Toc297029117"/>
      <w:bookmarkStart w:id="86" w:name="_Toc300761898"/>
      <w:bookmarkStart w:id="87" w:name="_Toc300933441"/>
      <w:r>
        <w:rPr>
          <w:lang w:eastAsia="en-AU"/>
        </w:rPr>
        <w:br w:type="page"/>
      </w:r>
    </w:p>
    <w:p w14:paraId="152EA226" w14:textId="18699C55" w:rsidR="002C1A3B" w:rsidRPr="002C1A3B" w:rsidRDefault="002C1A3B" w:rsidP="002C1A3B">
      <w:pPr>
        <w:pStyle w:val="Heading4"/>
        <w:rPr>
          <w:lang w:eastAsia="en-AU"/>
        </w:rPr>
      </w:pPr>
      <w:r w:rsidRPr="002C1A3B">
        <w:rPr>
          <w:lang w:eastAsia="en-AU"/>
        </w:rPr>
        <w:lastRenderedPageBreak/>
        <w:t>2.5.2.1</w:t>
      </w:r>
      <w:r w:rsidRPr="002C1A3B">
        <w:rPr>
          <w:lang w:eastAsia="en-AU"/>
        </w:rPr>
        <w:tab/>
        <w:t>Protection of public health and safety</w:t>
      </w:r>
      <w:bookmarkEnd w:id="85"/>
      <w:bookmarkEnd w:id="86"/>
      <w:bookmarkEnd w:id="87"/>
    </w:p>
    <w:p w14:paraId="3D33086F" w14:textId="77777777" w:rsidR="003B0CAB" w:rsidRPr="004544F5" w:rsidRDefault="003B0CAB" w:rsidP="003B0CAB">
      <w:pPr>
        <w:rPr>
          <w:szCs w:val="22"/>
        </w:rPr>
      </w:pPr>
      <w:bookmarkStart w:id="88" w:name="_Toc300761899"/>
      <w:bookmarkStart w:id="89" w:name="_Toc300933442"/>
      <w:r w:rsidRPr="004544F5">
        <w:rPr>
          <w:szCs w:val="22"/>
        </w:rPr>
        <w:t xml:space="preserve">FSANZ has </w:t>
      </w:r>
      <w:r>
        <w:rPr>
          <w:szCs w:val="22"/>
        </w:rPr>
        <w:t>undertaken a</w:t>
      </w:r>
      <w:r w:rsidRPr="004544F5">
        <w:rPr>
          <w:szCs w:val="22"/>
        </w:rPr>
        <w:t xml:space="preserve"> DEA</w:t>
      </w:r>
      <w:r>
        <w:rPr>
          <w:szCs w:val="22"/>
        </w:rPr>
        <w:t xml:space="preserve"> based on the temporary MRLs recently gazetted by the</w:t>
      </w:r>
      <w:r w:rsidRPr="004544F5">
        <w:rPr>
          <w:szCs w:val="22"/>
        </w:rPr>
        <w:t xml:space="preserve"> APVMA. Using the best available scientific data and internationally recognised risk assessment methodology, FSANZ concluded that </w:t>
      </w:r>
      <w:r>
        <w:rPr>
          <w:szCs w:val="22"/>
        </w:rPr>
        <w:t>the proposed MRLs for coumatetralyl and warfarin do</w:t>
      </w:r>
      <w:r w:rsidRPr="004544F5">
        <w:rPr>
          <w:szCs w:val="22"/>
        </w:rPr>
        <w:t xml:space="preserve"> not present any public health and safety concerns. </w:t>
      </w:r>
    </w:p>
    <w:p w14:paraId="182108A9"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88"/>
      <w:bookmarkEnd w:id="89"/>
    </w:p>
    <w:p w14:paraId="1E9D3059" w14:textId="77777777" w:rsidR="003B0CAB" w:rsidRPr="004544F5" w:rsidRDefault="003B0CAB" w:rsidP="003B0CAB">
      <w:bookmarkStart w:id="90" w:name="_Toc300761900"/>
      <w:bookmarkStart w:id="91" w:name="_Toc300933443"/>
      <w:r w:rsidRPr="004544F5">
        <w:t>This objective is not relevant to matters under consideration in the Proposal.</w:t>
      </w:r>
    </w:p>
    <w:p w14:paraId="6A99E898"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0"/>
      <w:bookmarkEnd w:id="91"/>
    </w:p>
    <w:p w14:paraId="6BB64288" w14:textId="77777777" w:rsidR="003B0CAB" w:rsidRPr="00656E41" w:rsidRDefault="003B0CAB" w:rsidP="003B0CAB">
      <w:bookmarkStart w:id="92" w:name="_Toc300761901"/>
      <w:bookmarkStart w:id="93" w:name="_Toc300933444"/>
      <w:bookmarkStart w:id="94" w:name="_Toc370223480"/>
      <w:bookmarkStart w:id="95" w:name="_Toc370225395"/>
      <w:r w:rsidRPr="004544F5">
        <w:t>This objective is not relevant to matters under consideration in the Proposal.</w:t>
      </w:r>
    </w:p>
    <w:p w14:paraId="2F868DC6" w14:textId="77777777" w:rsidR="002C1A3B" w:rsidRPr="002C1A3B" w:rsidRDefault="002C1A3B" w:rsidP="004517CD">
      <w:pPr>
        <w:pStyle w:val="Heading3"/>
      </w:pPr>
      <w:bookmarkStart w:id="96" w:name="_Toc427156671"/>
      <w:r w:rsidRPr="002C1A3B">
        <w:t>2.5.3</w:t>
      </w:r>
      <w:r w:rsidRPr="002C1A3B">
        <w:tab/>
        <w:t xml:space="preserve">Subsection 18(2) </w:t>
      </w:r>
      <w:bookmarkEnd w:id="92"/>
      <w:bookmarkEnd w:id="93"/>
      <w:r w:rsidRPr="002C1A3B">
        <w:t>considerations</w:t>
      </w:r>
      <w:bookmarkEnd w:id="94"/>
      <w:bookmarkEnd w:id="95"/>
      <w:bookmarkEnd w:id="96"/>
    </w:p>
    <w:p w14:paraId="57F9AA89" w14:textId="77777777" w:rsidR="002C1A3B" w:rsidRPr="002C1A3B" w:rsidRDefault="002C1A3B" w:rsidP="002C1A3B">
      <w:pPr>
        <w:rPr>
          <w:rFonts w:cs="Arial"/>
        </w:rPr>
      </w:pPr>
      <w:r w:rsidRPr="002C1A3B">
        <w:rPr>
          <w:rFonts w:cs="Arial"/>
        </w:rPr>
        <w:t>FSANZ has also had regard to:</w:t>
      </w:r>
    </w:p>
    <w:p w14:paraId="20104029" w14:textId="77777777" w:rsidR="002C1A3B" w:rsidRPr="002C1A3B" w:rsidRDefault="002C1A3B" w:rsidP="002C1A3B">
      <w:pPr>
        <w:rPr>
          <w:rFonts w:cs="Arial"/>
        </w:rPr>
      </w:pPr>
    </w:p>
    <w:p w14:paraId="2A7A1812"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28FA46B4" w14:textId="77777777" w:rsidR="002C1A3B" w:rsidRPr="002C1A3B" w:rsidRDefault="002C1A3B" w:rsidP="002C1A3B">
      <w:pPr>
        <w:rPr>
          <w:lang w:bidi="ar-SA"/>
        </w:rPr>
      </w:pPr>
    </w:p>
    <w:p w14:paraId="499A6984" w14:textId="19FC80E7" w:rsidR="003B0CAB" w:rsidRPr="004544F5" w:rsidRDefault="003B0CAB" w:rsidP="003B0CAB">
      <w:r w:rsidRPr="004544F5">
        <w:rPr>
          <w:szCs w:val="22"/>
        </w:rPr>
        <w:t xml:space="preserve">FSANZ’s primary role in developing food regulatory measures for residues of agvet chemicals in food is to ensure that estimated dietary exposures to potential residues are within </w:t>
      </w:r>
      <w:r>
        <w:rPr>
          <w:szCs w:val="22"/>
        </w:rPr>
        <w:t>HBGVs</w:t>
      </w:r>
      <w:r w:rsidRPr="004544F5">
        <w:rPr>
          <w:szCs w:val="22"/>
        </w:rPr>
        <w:t>. As described in Section 2.</w:t>
      </w:r>
      <w:r>
        <w:rPr>
          <w:szCs w:val="22"/>
        </w:rPr>
        <w:t>4</w:t>
      </w:r>
      <w:r w:rsidRPr="004544F5">
        <w:rPr>
          <w:szCs w:val="22"/>
        </w:rPr>
        <w:t>.2.1</w:t>
      </w:r>
      <w:r>
        <w:rPr>
          <w:szCs w:val="22"/>
        </w:rPr>
        <w:t>,</w:t>
      </w:r>
      <w:r w:rsidRPr="004544F5">
        <w:rPr>
          <w:szCs w:val="22"/>
        </w:rPr>
        <w:t xml:space="preserve"> FSANZ conducts and reviews DEA’s using the best available scientific data and internationally recognised risk assessment methodology. </w:t>
      </w:r>
    </w:p>
    <w:p w14:paraId="0AB5ACA6" w14:textId="77777777" w:rsidR="002C1A3B" w:rsidRPr="002C1A3B" w:rsidRDefault="002C1A3B" w:rsidP="002C1A3B">
      <w:pPr>
        <w:rPr>
          <w:lang w:bidi="ar-SA"/>
        </w:rPr>
      </w:pPr>
    </w:p>
    <w:p w14:paraId="76AD0FC7" w14:textId="77777777" w:rsidR="002C1A3B" w:rsidRPr="002C1A3B" w:rsidRDefault="002C1A3B" w:rsidP="002C1A3B">
      <w:pPr>
        <w:pStyle w:val="FSBullet1"/>
        <w:rPr>
          <w:b/>
        </w:rPr>
      </w:pPr>
      <w:r w:rsidRPr="002C1A3B">
        <w:rPr>
          <w:b/>
        </w:rPr>
        <w:t>the promotion of consistency between domestic and international food standards</w:t>
      </w:r>
    </w:p>
    <w:p w14:paraId="68433D53" w14:textId="77777777" w:rsidR="002C1A3B" w:rsidRPr="002C1A3B" w:rsidRDefault="002C1A3B" w:rsidP="002C1A3B">
      <w:pPr>
        <w:rPr>
          <w:lang w:bidi="ar-SA"/>
        </w:rPr>
      </w:pPr>
    </w:p>
    <w:p w14:paraId="7ABAE03A" w14:textId="70D81CC2" w:rsidR="003B0CAB" w:rsidRDefault="003B0CAB" w:rsidP="003B0CAB">
      <w:pPr>
        <w:rPr>
          <w:szCs w:val="22"/>
          <w:highlight w:val="lightGray"/>
        </w:rPr>
      </w:pPr>
      <w:r w:rsidRPr="009025FE">
        <w:rPr>
          <w:szCs w:val="22"/>
        </w:rPr>
        <w:t xml:space="preserve">The proposed changes will better align the Agricultural and Veterinary Chemicals Code Instrument No.4 (MRL Standard), which relates to foods that are produced domestically, and Standard 1.4.2 which applies to both foods that are produced domestically and foods that are imported into Australia. </w:t>
      </w:r>
    </w:p>
    <w:p w14:paraId="3DBACA82" w14:textId="77777777" w:rsidR="002C1A3B" w:rsidRPr="002C1A3B" w:rsidRDefault="002C1A3B" w:rsidP="002C1A3B">
      <w:pPr>
        <w:rPr>
          <w:lang w:bidi="ar-SA"/>
        </w:rPr>
      </w:pPr>
    </w:p>
    <w:p w14:paraId="41F7A8FB" w14:textId="77777777" w:rsidR="002C1A3B" w:rsidRPr="002C1A3B" w:rsidRDefault="002C1A3B" w:rsidP="002C1A3B">
      <w:pPr>
        <w:pStyle w:val="FSBullet1"/>
        <w:rPr>
          <w:b/>
        </w:rPr>
      </w:pPr>
      <w:r w:rsidRPr="002C1A3B">
        <w:rPr>
          <w:b/>
        </w:rPr>
        <w:t>the desirability of an efficient and internationally competitive food industry</w:t>
      </w:r>
    </w:p>
    <w:p w14:paraId="499E7C06" w14:textId="73C7792F" w:rsidR="003B0CAB" w:rsidRPr="003B0CAB" w:rsidRDefault="003B0CAB" w:rsidP="003B0CAB">
      <w:pPr>
        <w:pStyle w:val="Default"/>
        <w:rPr>
          <w:rFonts w:ascii="Arial" w:hAnsi="Arial" w:cs="Arial"/>
          <w:color w:val="auto"/>
          <w:sz w:val="22"/>
          <w:szCs w:val="22"/>
        </w:rPr>
      </w:pPr>
    </w:p>
    <w:p w14:paraId="6008D1A3" w14:textId="77777777" w:rsidR="003B0CAB" w:rsidRPr="003B0CAB" w:rsidRDefault="003B0CAB" w:rsidP="003B0CAB">
      <w:pPr>
        <w:rPr>
          <w:rFonts w:cs="Arial"/>
        </w:rPr>
      </w:pPr>
      <w:r w:rsidRPr="003B0CAB">
        <w:rPr>
          <w:rFonts w:cs="Arial"/>
          <w:szCs w:val="22"/>
        </w:rPr>
        <w:t xml:space="preserve">The changes will minimise potential costs to primary producers, rural and regional communities and importers in terms of permitting the sale of food containing legitimate residues. </w:t>
      </w:r>
    </w:p>
    <w:p w14:paraId="6A0130CF" w14:textId="77777777" w:rsidR="002C1A3B" w:rsidRPr="002C1A3B" w:rsidRDefault="002C1A3B" w:rsidP="002C1A3B">
      <w:pPr>
        <w:rPr>
          <w:lang w:bidi="ar-SA"/>
        </w:rPr>
      </w:pPr>
    </w:p>
    <w:p w14:paraId="4ABA7135" w14:textId="77777777" w:rsidR="002C1A3B" w:rsidRPr="002C1A3B" w:rsidRDefault="002C1A3B" w:rsidP="002C1A3B">
      <w:pPr>
        <w:pStyle w:val="FSBullet1"/>
        <w:rPr>
          <w:b/>
        </w:rPr>
      </w:pPr>
      <w:r w:rsidRPr="002C1A3B">
        <w:rPr>
          <w:b/>
        </w:rPr>
        <w:t>the promotion of fair trading in food</w:t>
      </w:r>
    </w:p>
    <w:p w14:paraId="6D95C954" w14:textId="77777777" w:rsidR="002C1A3B" w:rsidRPr="002C1A3B" w:rsidRDefault="002C1A3B" w:rsidP="002C1A3B">
      <w:pPr>
        <w:rPr>
          <w:lang w:bidi="ar-SA"/>
        </w:rPr>
      </w:pPr>
    </w:p>
    <w:p w14:paraId="3A6B7828" w14:textId="6D8068BC" w:rsidR="003B0CAB" w:rsidRPr="00464599" w:rsidRDefault="008A474B" w:rsidP="003B0CAB">
      <w:r>
        <w:rPr>
          <w:szCs w:val="22"/>
        </w:rPr>
        <w:t>Not applicable.</w:t>
      </w:r>
    </w:p>
    <w:p w14:paraId="56BD7355" w14:textId="77777777" w:rsidR="002C1A3B" w:rsidRPr="002C1A3B" w:rsidRDefault="002C1A3B" w:rsidP="002C1A3B">
      <w:pPr>
        <w:rPr>
          <w:lang w:bidi="ar-SA"/>
        </w:rPr>
      </w:pPr>
    </w:p>
    <w:p w14:paraId="173EB04C" w14:textId="77777777" w:rsidR="004A4DC2" w:rsidRDefault="004A4DC2" w:rsidP="002C1A3B">
      <w:pPr>
        <w:pStyle w:val="FSBullet1"/>
        <w:rPr>
          <w:b/>
        </w:rPr>
      </w:pPr>
      <w:r>
        <w:rPr>
          <w:b/>
        </w:rPr>
        <w:br w:type="page"/>
      </w:r>
    </w:p>
    <w:p w14:paraId="3CFE5BFF" w14:textId="5AC6C9F5" w:rsidR="002C1A3B" w:rsidRPr="002C1A3B" w:rsidRDefault="002C1A3B" w:rsidP="002C1A3B">
      <w:pPr>
        <w:pStyle w:val="FSBullet1"/>
        <w:rPr>
          <w:b/>
        </w:rPr>
      </w:pPr>
      <w:r w:rsidRPr="002C1A3B">
        <w:rPr>
          <w:b/>
        </w:rPr>
        <w:lastRenderedPageBreak/>
        <w:t>any written policy guidelines formulated by the Ministerial Council</w:t>
      </w:r>
      <w:r w:rsidRPr="002C1A3B">
        <w:rPr>
          <w:b/>
          <w:vertAlign w:val="superscript"/>
        </w:rPr>
        <w:footnoteReference w:id="11"/>
      </w:r>
    </w:p>
    <w:p w14:paraId="051C107E" w14:textId="77777777" w:rsidR="002C1A3B" w:rsidRPr="002C1A3B" w:rsidRDefault="002C1A3B" w:rsidP="002C1A3B">
      <w:pPr>
        <w:rPr>
          <w:lang w:bidi="ar-SA"/>
        </w:rPr>
      </w:pPr>
    </w:p>
    <w:p w14:paraId="32FFDA81" w14:textId="77777777" w:rsidR="003B0CAB" w:rsidRPr="00656E41" w:rsidRDefault="003B0CAB" w:rsidP="003B0CAB">
      <w:r w:rsidRPr="000E64CD">
        <w:rPr>
          <w:szCs w:val="22"/>
        </w:rPr>
        <w:t>The proposal has regard to the Ministerial Council policy guideline on the regulation of residues of agvet chemicals in food, in particular the specific policy principles to</w:t>
      </w:r>
      <w:r>
        <w:rPr>
          <w:szCs w:val="22"/>
        </w:rPr>
        <w:t>:</w:t>
      </w:r>
      <w:r w:rsidRPr="000E64CD">
        <w:rPr>
          <w:szCs w:val="22"/>
        </w:rPr>
        <w:t xml:space="preserve"> be consistent with the effective regulation of the registration, permission and use of agvet chemicals; promote a consistent approach to MRLs for both domestic and imported foods, where appropriate; and be consistent with Australia’s obligations under the WTO Sanitary and Phytosanitary Agreement (SPS Agreement).</w:t>
      </w:r>
      <w:r w:rsidRPr="00656E41">
        <w:rPr>
          <w:szCs w:val="22"/>
        </w:rPr>
        <w:t xml:space="preserve"> </w:t>
      </w:r>
    </w:p>
    <w:p w14:paraId="5BACE0DF" w14:textId="0E3E1137" w:rsidR="0012388D" w:rsidRDefault="00D15A08" w:rsidP="006C22A7">
      <w:pPr>
        <w:spacing w:before="240"/>
        <w:rPr>
          <w:b/>
          <w:sz w:val="28"/>
          <w:szCs w:val="28"/>
        </w:rPr>
      </w:pPr>
      <w:bookmarkStart w:id="97" w:name="_Toc11735643"/>
      <w:bookmarkStart w:id="98" w:name="_Toc29883130"/>
      <w:bookmarkStart w:id="99" w:name="_Toc41906817"/>
      <w:bookmarkStart w:id="100" w:name="_Toc41907564"/>
      <w:bookmarkStart w:id="101" w:name="_Toc43112360"/>
      <w:bookmarkEnd w:id="75"/>
      <w:r w:rsidRPr="006C22A7">
        <w:rPr>
          <w:b/>
          <w:sz w:val="28"/>
          <w:szCs w:val="28"/>
        </w:rPr>
        <w:t>A</w:t>
      </w:r>
      <w:bookmarkEnd w:id="97"/>
      <w:bookmarkEnd w:id="98"/>
      <w:bookmarkEnd w:id="99"/>
      <w:bookmarkEnd w:id="100"/>
      <w:bookmarkEnd w:id="101"/>
      <w:r w:rsidR="00B21055">
        <w:rPr>
          <w:b/>
          <w:sz w:val="28"/>
          <w:szCs w:val="28"/>
        </w:rPr>
        <w:t>ttachment</w:t>
      </w:r>
      <w:r w:rsidR="004A4DC2">
        <w:rPr>
          <w:b/>
          <w:sz w:val="28"/>
          <w:szCs w:val="28"/>
        </w:rPr>
        <w:t>s</w:t>
      </w:r>
    </w:p>
    <w:p w14:paraId="123BC36D" w14:textId="77777777" w:rsidR="006C22A7" w:rsidRDefault="006C22A7" w:rsidP="00755F02"/>
    <w:p w14:paraId="42E6EBF4" w14:textId="77777777" w:rsidR="004A4DC2" w:rsidRDefault="00755F02" w:rsidP="00456BD5">
      <w:pPr>
        <w:ind w:left="567" w:hanging="567"/>
        <w:rPr>
          <w:i/>
        </w:rPr>
      </w:pPr>
      <w:r>
        <w:t>A.</w:t>
      </w:r>
      <w:r>
        <w:tab/>
      </w:r>
      <w:r w:rsidR="009A2699" w:rsidRPr="009A2699">
        <w:t xml:space="preserve">Approved </w:t>
      </w:r>
      <w:r w:rsidR="00E47D3B">
        <w:t xml:space="preserve">draft </w:t>
      </w:r>
      <w:r w:rsidR="000576EB">
        <w:t xml:space="preserve">variation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56BD5">
        <w:rPr>
          <w:i/>
        </w:rPr>
        <w:t xml:space="preserve"> </w:t>
      </w:r>
    </w:p>
    <w:p w14:paraId="275D5F39" w14:textId="77777777" w:rsidR="004A4DC2" w:rsidRDefault="004A4DC2" w:rsidP="00456BD5">
      <w:pPr>
        <w:ind w:left="567" w:hanging="567"/>
      </w:pPr>
    </w:p>
    <w:p w14:paraId="19C4DC1B" w14:textId="7053009D" w:rsidR="00795D86" w:rsidRDefault="004A4DC2" w:rsidP="00456BD5">
      <w:pPr>
        <w:ind w:left="567" w:hanging="567"/>
      </w:pPr>
      <w:r>
        <w:t>B.</w:t>
      </w:r>
      <w:r>
        <w:tab/>
      </w:r>
      <w:r w:rsidR="00795D86">
        <w:t>Explanatory Statement</w:t>
      </w:r>
    </w:p>
    <w:p w14:paraId="54CA4CA7" w14:textId="722C4F4D" w:rsidR="0012388D" w:rsidRPr="00795D86" w:rsidRDefault="003C4969" w:rsidP="007D0189">
      <w:pPr>
        <w:pStyle w:val="Heading2"/>
        <w:ind w:left="0" w:firstLine="0"/>
      </w:pPr>
      <w:r w:rsidRPr="00932F14">
        <w:br w:type="page"/>
      </w:r>
      <w:bookmarkStart w:id="102" w:name="_Toc29883131"/>
      <w:bookmarkStart w:id="103" w:name="_Toc41906818"/>
      <w:bookmarkStart w:id="104" w:name="_Toc41907565"/>
      <w:bookmarkStart w:id="105" w:name="_Toc120358596"/>
      <w:bookmarkStart w:id="106" w:name="_Toc175381458"/>
      <w:bookmarkStart w:id="107" w:name="_Toc11735644"/>
      <w:bookmarkStart w:id="108" w:name="_Toc427156672"/>
      <w:r w:rsidRPr="00932F14">
        <w:lastRenderedPageBreak/>
        <w:t xml:space="preserve">Attachment </w:t>
      </w:r>
      <w:bookmarkEnd w:id="102"/>
      <w:bookmarkEnd w:id="103"/>
      <w:bookmarkEnd w:id="104"/>
      <w:bookmarkEnd w:id="105"/>
      <w:bookmarkEnd w:id="106"/>
      <w:r w:rsidR="00456B54">
        <w:t>A</w:t>
      </w:r>
      <w:bookmarkStart w:id="109" w:name="_Toc120358597"/>
      <w:bookmarkStart w:id="110" w:name="_Toc175381459"/>
      <w:bookmarkEnd w:id="107"/>
      <w:r w:rsidR="00755F02">
        <w:t xml:space="preserve"> – </w:t>
      </w:r>
      <w:r w:rsidR="009A2699">
        <w:t>Approved</w:t>
      </w:r>
      <w:r w:rsidRPr="00932F14">
        <w:t xml:space="preserve"> </w:t>
      </w:r>
      <w:r w:rsidR="00E47D3B">
        <w:t xml:space="preserve">draft </w:t>
      </w:r>
      <w:r w:rsidRPr="00932F14">
        <w:t>variation</w:t>
      </w:r>
      <w:r w:rsidRPr="000A4704">
        <w:t xml:space="preserve"> </w:t>
      </w:r>
      <w:r w:rsidRPr="00932F14">
        <w:t>to the</w:t>
      </w:r>
      <w:r w:rsidRPr="00755F02">
        <w:t xml:space="preserve"> </w:t>
      </w:r>
      <w:r w:rsidR="00D15A08" w:rsidRPr="00795D86">
        <w:rPr>
          <w:i/>
        </w:rPr>
        <w:t>Australia New Zealand Food Standards Code</w:t>
      </w:r>
      <w:bookmarkEnd w:id="109"/>
      <w:bookmarkEnd w:id="110"/>
      <w:bookmarkEnd w:id="108"/>
    </w:p>
    <w:p w14:paraId="467EC768" w14:textId="77777777" w:rsidR="000A4704" w:rsidRPr="002B2402" w:rsidRDefault="000A4704" w:rsidP="000A4704">
      <w:pPr>
        <w:rPr>
          <w:szCs w:val="20"/>
        </w:rPr>
      </w:pPr>
      <w:r w:rsidRPr="002B2402">
        <w:rPr>
          <w:noProof/>
          <w:sz w:val="20"/>
          <w:lang w:eastAsia="en-GB" w:bidi="ar-SA"/>
        </w:rPr>
        <w:drawing>
          <wp:inline distT="0" distB="0" distL="0" distR="0" wp14:anchorId="112B2ED5" wp14:editId="40B06A22">
            <wp:extent cx="2656936" cy="438061"/>
            <wp:effectExtent l="0" t="0" r="0" b="635"/>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8B4B30E" w14:textId="77777777" w:rsidR="000A4704" w:rsidRDefault="000A4704" w:rsidP="000A4704">
      <w:pPr>
        <w:pBdr>
          <w:bottom w:val="single" w:sz="4" w:space="1" w:color="auto"/>
        </w:pBdr>
        <w:rPr>
          <w:b/>
          <w:sz w:val="20"/>
        </w:rPr>
      </w:pPr>
    </w:p>
    <w:p w14:paraId="1745E480" w14:textId="77777777" w:rsidR="000A4704" w:rsidRPr="002B2402" w:rsidRDefault="000A4704" w:rsidP="000A4704">
      <w:pPr>
        <w:pBdr>
          <w:bottom w:val="single" w:sz="4" w:space="1" w:color="auto"/>
        </w:pBdr>
        <w:rPr>
          <w:b/>
          <w:sz w:val="20"/>
        </w:rPr>
      </w:pPr>
      <w:r w:rsidRPr="002B2402">
        <w:rPr>
          <w:b/>
          <w:sz w:val="20"/>
        </w:rPr>
        <w:t>Food Standards (Proposal M10</w:t>
      </w:r>
      <w:r>
        <w:rPr>
          <w:b/>
          <w:sz w:val="20"/>
        </w:rPr>
        <w:t>12</w:t>
      </w:r>
      <w:r w:rsidRPr="002B2402">
        <w:rPr>
          <w:b/>
          <w:sz w:val="20"/>
        </w:rPr>
        <w:t xml:space="preserve"> – </w:t>
      </w:r>
      <w:r>
        <w:rPr>
          <w:b/>
          <w:sz w:val="20"/>
        </w:rPr>
        <w:t>Amendments to Standard 1.4.2</w:t>
      </w:r>
      <w:r w:rsidRPr="002B2402">
        <w:rPr>
          <w:b/>
          <w:sz w:val="20"/>
        </w:rPr>
        <w:t>) Variation</w:t>
      </w:r>
    </w:p>
    <w:p w14:paraId="6F5BAFC1" w14:textId="77777777" w:rsidR="000A4704" w:rsidRPr="002B2402" w:rsidRDefault="000A4704" w:rsidP="000A4704">
      <w:pPr>
        <w:pBdr>
          <w:bottom w:val="single" w:sz="4" w:space="1" w:color="auto"/>
        </w:pBdr>
        <w:rPr>
          <w:b/>
          <w:sz w:val="20"/>
        </w:rPr>
      </w:pPr>
    </w:p>
    <w:p w14:paraId="2B72743A" w14:textId="77777777" w:rsidR="000A4704" w:rsidRPr="002B2402" w:rsidRDefault="000A4704" w:rsidP="000A4704">
      <w:pPr>
        <w:rPr>
          <w:sz w:val="20"/>
        </w:rPr>
      </w:pPr>
    </w:p>
    <w:p w14:paraId="60E1AB50" w14:textId="77777777" w:rsidR="000A4704" w:rsidRPr="002B2402" w:rsidRDefault="000A4704" w:rsidP="000A4704">
      <w:pPr>
        <w:rPr>
          <w:sz w:val="20"/>
        </w:rPr>
      </w:pPr>
      <w:r w:rsidRPr="002B2402">
        <w:rPr>
          <w:sz w:val="20"/>
        </w:rPr>
        <w:t>The Board of Food Standards Australia New Zealand gives notice of the making of this variation under section 92 of the Food Standards Australia New Zealand Act 1991.  The Standard commences on the date specified in clause 3 of this variation.</w:t>
      </w:r>
    </w:p>
    <w:p w14:paraId="4C75F886" w14:textId="77777777" w:rsidR="000A4704" w:rsidRPr="002B2402" w:rsidRDefault="000A4704" w:rsidP="000A4704">
      <w:pPr>
        <w:rPr>
          <w:sz w:val="20"/>
        </w:rPr>
      </w:pPr>
    </w:p>
    <w:p w14:paraId="64CC0C10" w14:textId="77777777" w:rsidR="000A4704" w:rsidRPr="002B2402" w:rsidRDefault="000A4704" w:rsidP="000A4704">
      <w:pPr>
        <w:rPr>
          <w:sz w:val="20"/>
        </w:rPr>
      </w:pPr>
      <w:r w:rsidRPr="002B2402">
        <w:rPr>
          <w:sz w:val="20"/>
        </w:rPr>
        <w:t>Dated [To be completed by Standards Management Officer]</w:t>
      </w:r>
    </w:p>
    <w:p w14:paraId="02F7A46C" w14:textId="77777777" w:rsidR="000A4704" w:rsidRPr="002B2402" w:rsidRDefault="000A4704" w:rsidP="000A4704">
      <w:pPr>
        <w:rPr>
          <w:sz w:val="20"/>
        </w:rPr>
      </w:pPr>
    </w:p>
    <w:p w14:paraId="716B7835" w14:textId="77777777" w:rsidR="000A4704" w:rsidRPr="002B2402" w:rsidRDefault="000A4704" w:rsidP="000A4704">
      <w:pPr>
        <w:rPr>
          <w:sz w:val="20"/>
        </w:rPr>
      </w:pPr>
    </w:p>
    <w:p w14:paraId="42EF7334" w14:textId="77777777" w:rsidR="000A4704" w:rsidRPr="002B2402" w:rsidRDefault="000A4704" w:rsidP="000A4704">
      <w:pPr>
        <w:rPr>
          <w:sz w:val="20"/>
        </w:rPr>
      </w:pPr>
    </w:p>
    <w:p w14:paraId="77237C83" w14:textId="77777777" w:rsidR="000A4704" w:rsidRPr="002B2402" w:rsidRDefault="000A4704" w:rsidP="000A4704">
      <w:pPr>
        <w:rPr>
          <w:sz w:val="20"/>
        </w:rPr>
      </w:pPr>
    </w:p>
    <w:p w14:paraId="276C99A3" w14:textId="77777777" w:rsidR="000A4704" w:rsidRPr="002B2402" w:rsidRDefault="000A4704" w:rsidP="000A4704">
      <w:pPr>
        <w:rPr>
          <w:sz w:val="20"/>
        </w:rPr>
      </w:pPr>
    </w:p>
    <w:p w14:paraId="0C4ED936" w14:textId="77777777" w:rsidR="000A4704" w:rsidRPr="002B2402" w:rsidRDefault="000A4704" w:rsidP="000A4704">
      <w:pPr>
        <w:rPr>
          <w:sz w:val="20"/>
        </w:rPr>
      </w:pPr>
      <w:r w:rsidRPr="002B2402">
        <w:rPr>
          <w:sz w:val="20"/>
        </w:rPr>
        <w:t>Standards Management Officer</w:t>
      </w:r>
    </w:p>
    <w:p w14:paraId="47EF9BAC" w14:textId="77777777" w:rsidR="000A4704" w:rsidRPr="002B2402" w:rsidRDefault="000A4704" w:rsidP="000A4704">
      <w:pPr>
        <w:rPr>
          <w:sz w:val="20"/>
        </w:rPr>
      </w:pPr>
      <w:r w:rsidRPr="002B2402">
        <w:rPr>
          <w:sz w:val="20"/>
        </w:rPr>
        <w:t>Delegate of the Board of Food Standards Australia New Zealand</w:t>
      </w:r>
    </w:p>
    <w:p w14:paraId="4E33F205" w14:textId="77777777" w:rsidR="000A4704" w:rsidRPr="002B2402" w:rsidRDefault="000A4704" w:rsidP="000A4704">
      <w:pPr>
        <w:rPr>
          <w:sz w:val="20"/>
        </w:rPr>
      </w:pPr>
    </w:p>
    <w:p w14:paraId="39D8902B" w14:textId="77777777" w:rsidR="000A4704" w:rsidRPr="002B2402" w:rsidRDefault="000A4704" w:rsidP="000A4704">
      <w:pPr>
        <w:rPr>
          <w:sz w:val="20"/>
        </w:rPr>
      </w:pPr>
    </w:p>
    <w:p w14:paraId="441FA01B" w14:textId="77777777" w:rsidR="000A4704" w:rsidRPr="002B2402" w:rsidRDefault="000A4704" w:rsidP="000A4704">
      <w:pPr>
        <w:rPr>
          <w:sz w:val="20"/>
        </w:rPr>
      </w:pPr>
    </w:p>
    <w:p w14:paraId="0C4E0786" w14:textId="77777777" w:rsidR="000A4704" w:rsidRPr="002B2402" w:rsidRDefault="000A4704" w:rsidP="000A4704">
      <w:pPr>
        <w:rPr>
          <w:sz w:val="20"/>
        </w:rPr>
      </w:pPr>
    </w:p>
    <w:p w14:paraId="28835FBF" w14:textId="77777777" w:rsidR="000A4704" w:rsidRPr="002B2402" w:rsidRDefault="000A4704" w:rsidP="000A4704">
      <w:pPr>
        <w:rPr>
          <w:sz w:val="20"/>
        </w:rPr>
      </w:pPr>
    </w:p>
    <w:p w14:paraId="52FCE17A" w14:textId="77777777" w:rsidR="000A4704" w:rsidRPr="002B2402" w:rsidRDefault="000A4704" w:rsidP="000A4704">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B2402">
        <w:rPr>
          <w:b/>
          <w:sz w:val="20"/>
          <w:szCs w:val="20"/>
          <w:lang w:val="en-AU"/>
        </w:rPr>
        <w:t xml:space="preserve">Note:  </w:t>
      </w:r>
    </w:p>
    <w:p w14:paraId="4A62DCE9" w14:textId="77777777" w:rsidR="000A4704" w:rsidRPr="002B2402" w:rsidRDefault="000A4704" w:rsidP="000A4704">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4DC1BD72" w14:textId="77777777" w:rsidR="000A4704" w:rsidRPr="002B2402" w:rsidRDefault="000A4704" w:rsidP="000A4704">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B2402">
        <w:rPr>
          <w:sz w:val="20"/>
          <w:szCs w:val="20"/>
          <w:lang w:val="en-AU"/>
        </w:rPr>
        <w:t xml:space="preserve">This variation will be published in the Commonwealth of Australia Gazette No. FSC </w:t>
      </w:r>
      <w:r w:rsidRPr="002B2402">
        <w:rPr>
          <w:color w:val="FF0000"/>
          <w:sz w:val="20"/>
          <w:szCs w:val="20"/>
          <w:lang w:val="en-AU"/>
        </w:rPr>
        <w:t xml:space="preserve">XX on XX </w:t>
      </w:r>
      <w:r>
        <w:rPr>
          <w:color w:val="FF0000"/>
          <w:sz w:val="20"/>
          <w:szCs w:val="20"/>
          <w:lang w:val="en-AU"/>
        </w:rPr>
        <w:t>Month 20XX</w:t>
      </w:r>
      <w:r w:rsidRPr="002B2402">
        <w:rPr>
          <w:sz w:val="20"/>
          <w:szCs w:val="20"/>
          <w:lang w:val="en-AU"/>
        </w:rPr>
        <w:t xml:space="preserve">. This means that this date is the gazettal date for the purposes of clause 3 of the variation. </w:t>
      </w:r>
    </w:p>
    <w:p w14:paraId="1C8DA059" w14:textId="77777777" w:rsidR="000A4704" w:rsidRPr="002B2402" w:rsidRDefault="000A4704" w:rsidP="000A4704">
      <w:pPr>
        <w:rPr>
          <w:sz w:val="20"/>
        </w:rPr>
      </w:pPr>
    </w:p>
    <w:p w14:paraId="004D3952" w14:textId="77777777" w:rsidR="000A4704" w:rsidRDefault="000A4704" w:rsidP="000A4704">
      <w:pPr>
        <w:widowControl/>
        <w:rPr>
          <w:lang w:bidi="ar-SA"/>
        </w:rPr>
      </w:pPr>
      <w:r>
        <w:rPr>
          <w:lang w:bidi="ar-SA"/>
        </w:rPr>
        <w:br w:type="page"/>
      </w:r>
    </w:p>
    <w:p w14:paraId="2D9CC11A" w14:textId="77777777" w:rsidR="000A4704" w:rsidRPr="002B2402" w:rsidRDefault="000A4704" w:rsidP="000A4704">
      <w:pPr>
        <w:tabs>
          <w:tab w:val="left" w:pos="851"/>
        </w:tabs>
        <w:rPr>
          <w:b/>
          <w:sz w:val="20"/>
          <w:szCs w:val="20"/>
        </w:rPr>
      </w:pPr>
      <w:r w:rsidRPr="002B2402">
        <w:rPr>
          <w:b/>
          <w:sz w:val="20"/>
          <w:szCs w:val="20"/>
        </w:rPr>
        <w:lastRenderedPageBreak/>
        <w:t>1</w:t>
      </w:r>
      <w:r w:rsidRPr="002B2402">
        <w:rPr>
          <w:b/>
          <w:sz w:val="20"/>
          <w:szCs w:val="20"/>
        </w:rPr>
        <w:tab/>
        <w:t>Name</w:t>
      </w:r>
    </w:p>
    <w:p w14:paraId="71A8D2C4" w14:textId="77777777" w:rsidR="000A4704" w:rsidRPr="002B2402" w:rsidRDefault="000A4704" w:rsidP="000A4704">
      <w:pPr>
        <w:tabs>
          <w:tab w:val="left" w:pos="851"/>
        </w:tabs>
        <w:rPr>
          <w:sz w:val="20"/>
          <w:szCs w:val="20"/>
        </w:rPr>
      </w:pPr>
    </w:p>
    <w:p w14:paraId="74AAAD00" w14:textId="77777777" w:rsidR="000A4704" w:rsidRPr="002B2402" w:rsidRDefault="000A4704" w:rsidP="000A4704">
      <w:pPr>
        <w:tabs>
          <w:tab w:val="left" w:pos="851"/>
        </w:tabs>
        <w:rPr>
          <w:sz w:val="20"/>
          <w:szCs w:val="20"/>
        </w:rPr>
      </w:pPr>
      <w:r w:rsidRPr="002B2402">
        <w:rPr>
          <w:sz w:val="20"/>
          <w:szCs w:val="20"/>
        </w:rPr>
        <w:t xml:space="preserve">This instrument is the </w:t>
      </w:r>
      <w:r w:rsidRPr="002B2402">
        <w:rPr>
          <w:i/>
          <w:sz w:val="20"/>
          <w:szCs w:val="20"/>
        </w:rPr>
        <w:t>Food Standards (Proposal M101</w:t>
      </w:r>
      <w:r>
        <w:rPr>
          <w:i/>
          <w:sz w:val="20"/>
          <w:szCs w:val="20"/>
        </w:rPr>
        <w:t>2</w:t>
      </w:r>
      <w:r w:rsidRPr="002B2402">
        <w:rPr>
          <w:i/>
          <w:sz w:val="20"/>
          <w:szCs w:val="20"/>
        </w:rPr>
        <w:t xml:space="preserve"> – </w:t>
      </w:r>
      <w:r>
        <w:rPr>
          <w:i/>
          <w:sz w:val="20"/>
          <w:szCs w:val="20"/>
        </w:rPr>
        <w:t>Amendments to Standard 1.4.2</w:t>
      </w:r>
      <w:r w:rsidRPr="002B2402">
        <w:rPr>
          <w:i/>
          <w:sz w:val="20"/>
          <w:szCs w:val="20"/>
        </w:rPr>
        <w:t>) Variation</w:t>
      </w:r>
      <w:r w:rsidRPr="002B2402">
        <w:rPr>
          <w:sz w:val="20"/>
          <w:szCs w:val="20"/>
        </w:rPr>
        <w:t>.</w:t>
      </w:r>
    </w:p>
    <w:p w14:paraId="52BBC652" w14:textId="77777777" w:rsidR="000A4704" w:rsidRPr="002B2402" w:rsidRDefault="000A4704" w:rsidP="000A4704">
      <w:pPr>
        <w:tabs>
          <w:tab w:val="left" w:pos="851"/>
        </w:tabs>
        <w:rPr>
          <w:sz w:val="20"/>
          <w:szCs w:val="20"/>
        </w:rPr>
      </w:pPr>
    </w:p>
    <w:p w14:paraId="08B4123B" w14:textId="77777777" w:rsidR="000A4704" w:rsidRPr="002B2402" w:rsidRDefault="000A4704" w:rsidP="000A4704">
      <w:pPr>
        <w:tabs>
          <w:tab w:val="left" w:pos="851"/>
        </w:tabs>
        <w:rPr>
          <w:b/>
          <w:sz w:val="20"/>
          <w:szCs w:val="20"/>
        </w:rPr>
      </w:pPr>
      <w:r w:rsidRPr="002B2402">
        <w:rPr>
          <w:b/>
          <w:sz w:val="20"/>
          <w:szCs w:val="20"/>
        </w:rPr>
        <w:t>2</w:t>
      </w:r>
      <w:r w:rsidRPr="002B2402">
        <w:rPr>
          <w:b/>
          <w:sz w:val="20"/>
          <w:szCs w:val="20"/>
        </w:rPr>
        <w:tab/>
        <w:t xml:space="preserve">Variation to Standards in the </w:t>
      </w:r>
      <w:r w:rsidRPr="002B2402">
        <w:rPr>
          <w:b/>
          <w:i/>
          <w:sz w:val="20"/>
          <w:szCs w:val="20"/>
        </w:rPr>
        <w:t>Australia New Zealand Food Standards Code</w:t>
      </w:r>
    </w:p>
    <w:p w14:paraId="7F2C1E1F" w14:textId="77777777" w:rsidR="000A4704" w:rsidRPr="002B2402" w:rsidRDefault="000A4704" w:rsidP="000A4704">
      <w:pPr>
        <w:tabs>
          <w:tab w:val="left" w:pos="851"/>
        </w:tabs>
        <w:rPr>
          <w:sz w:val="20"/>
          <w:szCs w:val="20"/>
        </w:rPr>
      </w:pPr>
    </w:p>
    <w:p w14:paraId="5A8C9068" w14:textId="77777777" w:rsidR="000A4704" w:rsidRPr="002B2402" w:rsidRDefault="000A4704" w:rsidP="000A4704">
      <w:pPr>
        <w:tabs>
          <w:tab w:val="left" w:pos="851"/>
        </w:tabs>
        <w:rPr>
          <w:sz w:val="20"/>
          <w:szCs w:val="20"/>
        </w:rPr>
      </w:pPr>
      <w:r w:rsidRPr="002B2402">
        <w:rPr>
          <w:sz w:val="20"/>
          <w:szCs w:val="20"/>
        </w:rPr>
        <w:t xml:space="preserve">The Schedule varies a Standard in the </w:t>
      </w:r>
      <w:r w:rsidRPr="002B2402">
        <w:rPr>
          <w:i/>
          <w:sz w:val="20"/>
          <w:szCs w:val="20"/>
        </w:rPr>
        <w:t>Australia New Zealand Food Standards Code</w:t>
      </w:r>
      <w:r w:rsidRPr="002B2402">
        <w:rPr>
          <w:sz w:val="20"/>
          <w:szCs w:val="20"/>
        </w:rPr>
        <w:t>.</w:t>
      </w:r>
    </w:p>
    <w:p w14:paraId="5D8CDD71" w14:textId="77777777" w:rsidR="000A4704" w:rsidRPr="002B2402" w:rsidRDefault="000A4704" w:rsidP="000A4704">
      <w:pPr>
        <w:rPr>
          <w:sz w:val="20"/>
        </w:rPr>
      </w:pPr>
    </w:p>
    <w:p w14:paraId="001814F7" w14:textId="77777777" w:rsidR="000A4704" w:rsidRPr="002B2402" w:rsidRDefault="000A4704" w:rsidP="000A4704">
      <w:pPr>
        <w:tabs>
          <w:tab w:val="left" w:pos="851"/>
        </w:tabs>
        <w:rPr>
          <w:b/>
          <w:sz w:val="20"/>
          <w:szCs w:val="20"/>
        </w:rPr>
      </w:pPr>
      <w:r w:rsidRPr="002B2402">
        <w:rPr>
          <w:b/>
          <w:sz w:val="20"/>
          <w:szCs w:val="20"/>
        </w:rPr>
        <w:t>3</w:t>
      </w:r>
      <w:r w:rsidRPr="002B2402">
        <w:rPr>
          <w:b/>
          <w:sz w:val="20"/>
          <w:szCs w:val="20"/>
        </w:rPr>
        <w:tab/>
        <w:t>Commencement</w:t>
      </w:r>
    </w:p>
    <w:p w14:paraId="36E90433" w14:textId="77777777" w:rsidR="000A4704" w:rsidRPr="002B2402" w:rsidRDefault="000A4704" w:rsidP="000A4704">
      <w:pPr>
        <w:tabs>
          <w:tab w:val="left" w:pos="851"/>
        </w:tabs>
        <w:rPr>
          <w:sz w:val="20"/>
          <w:szCs w:val="20"/>
        </w:rPr>
      </w:pPr>
    </w:p>
    <w:p w14:paraId="2452E269" w14:textId="77777777" w:rsidR="000A4704" w:rsidRPr="002B2402" w:rsidRDefault="000A4704" w:rsidP="000A4704">
      <w:pPr>
        <w:tabs>
          <w:tab w:val="left" w:pos="851"/>
        </w:tabs>
        <w:rPr>
          <w:sz w:val="20"/>
          <w:szCs w:val="20"/>
        </w:rPr>
      </w:pPr>
      <w:r w:rsidRPr="002B2402">
        <w:rPr>
          <w:sz w:val="20"/>
          <w:szCs w:val="20"/>
        </w:rPr>
        <w:t xml:space="preserve">The variation commences on </w:t>
      </w:r>
      <w:r w:rsidRPr="002B2402">
        <w:rPr>
          <w:bCs/>
          <w:sz w:val="20"/>
          <w:szCs w:val="20"/>
        </w:rPr>
        <w:t>the date of gazettal</w:t>
      </w:r>
      <w:r w:rsidRPr="002B2402">
        <w:rPr>
          <w:sz w:val="20"/>
          <w:szCs w:val="20"/>
        </w:rPr>
        <w:t>.</w:t>
      </w:r>
    </w:p>
    <w:p w14:paraId="1AC49B02" w14:textId="77777777" w:rsidR="000A4704" w:rsidRPr="002B2402" w:rsidRDefault="000A4704" w:rsidP="000A4704">
      <w:pPr>
        <w:tabs>
          <w:tab w:val="left" w:pos="851"/>
        </w:tabs>
        <w:ind w:hanging="11"/>
        <w:rPr>
          <w:sz w:val="20"/>
          <w:szCs w:val="20"/>
        </w:rPr>
      </w:pPr>
    </w:p>
    <w:p w14:paraId="037B4C6F" w14:textId="77777777" w:rsidR="000A4704" w:rsidRPr="002B2402" w:rsidRDefault="000A4704" w:rsidP="000A4704">
      <w:pPr>
        <w:tabs>
          <w:tab w:val="left" w:pos="851"/>
        </w:tabs>
        <w:jc w:val="center"/>
        <w:rPr>
          <w:b/>
          <w:caps/>
          <w:sz w:val="20"/>
          <w:szCs w:val="20"/>
        </w:rPr>
      </w:pPr>
      <w:r w:rsidRPr="002B2402">
        <w:rPr>
          <w:b/>
          <w:caps/>
          <w:sz w:val="20"/>
          <w:szCs w:val="20"/>
        </w:rPr>
        <w:t>SCHEDULE</w:t>
      </w:r>
    </w:p>
    <w:p w14:paraId="2C2FF459" w14:textId="77777777" w:rsidR="000A4704" w:rsidRPr="002B2402" w:rsidRDefault="000A4704" w:rsidP="000A4704">
      <w:pPr>
        <w:widowControl/>
        <w:rPr>
          <w:sz w:val="20"/>
        </w:rPr>
      </w:pPr>
    </w:p>
    <w:p w14:paraId="46BDD2BF" w14:textId="77777777" w:rsidR="000A4704" w:rsidRPr="00303DCB" w:rsidRDefault="000A4704" w:rsidP="000A4704">
      <w:pPr>
        <w:tabs>
          <w:tab w:val="left" w:pos="851"/>
        </w:tabs>
        <w:rPr>
          <w:sz w:val="20"/>
          <w:lang w:bidi="ar-SA"/>
        </w:rPr>
      </w:pPr>
      <w:r w:rsidRPr="002B2402">
        <w:rPr>
          <w:b/>
          <w:bCs/>
          <w:sz w:val="20"/>
          <w:szCs w:val="20"/>
        </w:rPr>
        <w:t>[1]</w:t>
      </w:r>
      <w:r w:rsidRPr="002B2402">
        <w:rPr>
          <w:b/>
          <w:sz w:val="20"/>
          <w:szCs w:val="20"/>
        </w:rPr>
        <w:tab/>
        <w:t>Standard 1.4.2</w:t>
      </w:r>
      <w:r w:rsidRPr="002B2402">
        <w:rPr>
          <w:sz w:val="20"/>
          <w:szCs w:val="20"/>
        </w:rPr>
        <w:t xml:space="preserve"> is varied by</w:t>
      </w:r>
      <w:r>
        <w:rPr>
          <w:sz w:val="20"/>
          <w:szCs w:val="20"/>
        </w:rPr>
        <w:t xml:space="preserve"> </w:t>
      </w:r>
      <w:r w:rsidRPr="00303DCB">
        <w:rPr>
          <w:sz w:val="20"/>
          <w:lang w:bidi="ar-SA"/>
        </w:rPr>
        <w:t>inserting in alphabetical order in Schedule 1</w:t>
      </w:r>
    </w:p>
    <w:p w14:paraId="7B4AD01C" w14:textId="77777777" w:rsidR="000A4704" w:rsidRDefault="000A4704" w:rsidP="000A4704">
      <w:pPr>
        <w:rPr>
          <w:lang w:bidi="ar-SA"/>
        </w:rPr>
      </w:pPr>
    </w:p>
    <w:p w14:paraId="001EC381" w14:textId="77777777" w:rsidR="000A4704" w:rsidRPr="002B2402" w:rsidRDefault="000A4704" w:rsidP="000A4704">
      <w:pPr>
        <w:tabs>
          <w:tab w:val="left" w:pos="851"/>
        </w:tabs>
        <w:rPr>
          <w:iCs/>
          <w:sz w:val="20"/>
          <w:szCs w:val="20"/>
        </w:rPr>
      </w:pPr>
      <w:r w:rsidRPr="002B2402">
        <w:rPr>
          <w:sz w:val="20"/>
          <w:szCs w:val="20"/>
        </w:rPr>
        <w:t>“</w:t>
      </w: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0A4704" w:rsidRPr="006C17B7" w14:paraId="7F3C3E9B" w14:textId="77777777" w:rsidTr="00E52993">
        <w:trPr>
          <w:cantSplit/>
          <w:trHeight w:val="64"/>
        </w:trPr>
        <w:tc>
          <w:tcPr>
            <w:tcW w:w="4423" w:type="dxa"/>
            <w:gridSpan w:val="2"/>
            <w:tcBorders>
              <w:top w:val="single" w:sz="6" w:space="0" w:color="auto"/>
              <w:bottom w:val="nil"/>
            </w:tcBorders>
            <w:shd w:val="pct10" w:color="auto" w:fill="auto"/>
          </w:tcPr>
          <w:p w14:paraId="373ECC9C" w14:textId="77777777" w:rsidR="000A4704" w:rsidRPr="006C17B7" w:rsidRDefault="000A4704" w:rsidP="00E52993">
            <w:pPr>
              <w:pStyle w:val="142tableheading1"/>
              <w:rPr>
                <w:rFonts w:ascii="Arial" w:hAnsi="Arial" w:cs="Arial"/>
                <w:iCs/>
                <w:szCs w:val="18"/>
                <w:lang w:bidi="ar-SA"/>
              </w:rPr>
            </w:pPr>
            <w:r w:rsidRPr="006C17B7">
              <w:rPr>
                <w:rFonts w:ascii="Arial" w:hAnsi="Arial" w:cs="Arial"/>
                <w:smallCaps w:val="0"/>
                <w:szCs w:val="18"/>
              </w:rPr>
              <w:t>Coumatetralyl</w:t>
            </w:r>
          </w:p>
        </w:tc>
      </w:tr>
      <w:tr w:rsidR="000A4704" w:rsidRPr="006C17B7" w14:paraId="7B3A24D9" w14:textId="77777777" w:rsidTr="00E52993">
        <w:trPr>
          <w:cantSplit/>
        </w:trPr>
        <w:tc>
          <w:tcPr>
            <w:tcW w:w="4423" w:type="dxa"/>
            <w:gridSpan w:val="2"/>
            <w:tcBorders>
              <w:top w:val="nil"/>
              <w:bottom w:val="single" w:sz="6" w:space="0" w:color="auto"/>
            </w:tcBorders>
            <w:shd w:val="pct10" w:color="auto" w:fill="auto"/>
          </w:tcPr>
          <w:p w14:paraId="453AC8E7" w14:textId="77777777" w:rsidR="000A4704" w:rsidRPr="006C17B7" w:rsidRDefault="000A4704" w:rsidP="00E52993">
            <w:pPr>
              <w:keepNext/>
              <w:jc w:val="center"/>
              <w:rPr>
                <w:rFonts w:cs="Arial"/>
                <w:bCs/>
                <w:iCs/>
                <w:sz w:val="18"/>
                <w:szCs w:val="18"/>
                <w:lang w:bidi="ar-SA"/>
              </w:rPr>
            </w:pPr>
            <w:r w:rsidRPr="006C17B7">
              <w:rPr>
                <w:rFonts w:cs="Arial"/>
                <w:sz w:val="18"/>
                <w:szCs w:val="18"/>
              </w:rPr>
              <w:t>Coumatetralyl</w:t>
            </w:r>
          </w:p>
        </w:tc>
      </w:tr>
      <w:tr w:rsidR="000A4704" w:rsidRPr="006C17B7" w14:paraId="4C4AB82E" w14:textId="77777777" w:rsidTr="00E52993">
        <w:trPr>
          <w:cantSplit/>
          <w:trHeight w:val="227"/>
        </w:trPr>
        <w:tc>
          <w:tcPr>
            <w:tcW w:w="3402" w:type="dxa"/>
            <w:tcBorders>
              <w:top w:val="single" w:sz="6" w:space="0" w:color="auto"/>
            </w:tcBorders>
          </w:tcPr>
          <w:p w14:paraId="00A49E5C" w14:textId="77777777" w:rsidR="000A4704" w:rsidRPr="006C17B7" w:rsidRDefault="000A4704" w:rsidP="00E52993">
            <w:pPr>
              <w:keepLines/>
              <w:widowControl/>
              <w:spacing w:before="20" w:after="20"/>
              <w:rPr>
                <w:rFonts w:cs="Arial"/>
                <w:sz w:val="18"/>
                <w:szCs w:val="18"/>
                <w:lang w:val="en-AU" w:eastAsia="en-AU" w:bidi="ar-SA"/>
              </w:rPr>
            </w:pPr>
            <w:r w:rsidRPr="006C17B7">
              <w:rPr>
                <w:sz w:val="18"/>
              </w:rPr>
              <w:t>Pig, edible offal of [except liver]</w:t>
            </w:r>
          </w:p>
        </w:tc>
        <w:tc>
          <w:tcPr>
            <w:tcW w:w="1021" w:type="dxa"/>
            <w:tcBorders>
              <w:top w:val="single" w:sz="6" w:space="0" w:color="auto"/>
            </w:tcBorders>
          </w:tcPr>
          <w:p w14:paraId="465BD6C2" w14:textId="77777777" w:rsidR="000A4704" w:rsidRPr="006C17B7" w:rsidRDefault="000A4704" w:rsidP="00E52993">
            <w:pPr>
              <w:keepLines/>
              <w:widowControl/>
              <w:spacing w:before="20" w:after="20"/>
              <w:jc w:val="right"/>
              <w:rPr>
                <w:rFonts w:eastAsiaTheme="minorHAnsi" w:cs="Arial"/>
                <w:sz w:val="18"/>
                <w:szCs w:val="18"/>
                <w:lang w:val="en-AU" w:bidi="ar-SA"/>
              </w:rPr>
            </w:pPr>
            <w:r w:rsidRPr="006C17B7">
              <w:rPr>
                <w:sz w:val="18"/>
              </w:rPr>
              <w:t>T0.003</w:t>
            </w:r>
          </w:p>
        </w:tc>
      </w:tr>
      <w:tr w:rsidR="000A4704" w:rsidRPr="006C17B7" w14:paraId="1FB015F8" w14:textId="77777777" w:rsidTr="00E52993">
        <w:trPr>
          <w:cantSplit/>
          <w:trHeight w:val="227"/>
        </w:trPr>
        <w:tc>
          <w:tcPr>
            <w:tcW w:w="3402" w:type="dxa"/>
          </w:tcPr>
          <w:p w14:paraId="69888AA2" w14:textId="77777777" w:rsidR="000A4704" w:rsidRPr="006C17B7" w:rsidRDefault="000A4704" w:rsidP="00E52993">
            <w:pPr>
              <w:keepLines/>
              <w:widowControl/>
              <w:spacing w:before="20" w:after="20"/>
              <w:rPr>
                <w:rFonts w:cs="Arial"/>
                <w:sz w:val="18"/>
                <w:szCs w:val="18"/>
                <w:lang w:val="en-AU" w:eastAsia="en-AU" w:bidi="ar-SA"/>
              </w:rPr>
            </w:pPr>
            <w:r w:rsidRPr="006C17B7">
              <w:rPr>
                <w:sz w:val="18"/>
              </w:rPr>
              <w:t>Pig fat</w:t>
            </w:r>
          </w:p>
        </w:tc>
        <w:tc>
          <w:tcPr>
            <w:tcW w:w="1021" w:type="dxa"/>
          </w:tcPr>
          <w:p w14:paraId="363B6575" w14:textId="77777777" w:rsidR="000A4704" w:rsidRPr="006C17B7" w:rsidRDefault="000A4704" w:rsidP="00E52993">
            <w:pPr>
              <w:keepLines/>
              <w:widowControl/>
              <w:spacing w:before="20" w:after="20"/>
              <w:jc w:val="right"/>
              <w:rPr>
                <w:rFonts w:eastAsiaTheme="minorHAnsi" w:cs="Arial"/>
                <w:sz w:val="18"/>
                <w:szCs w:val="18"/>
                <w:lang w:val="en-AU" w:bidi="ar-SA"/>
              </w:rPr>
            </w:pPr>
            <w:r w:rsidRPr="006C17B7">
              <w:rPr>
                <w:sz w:val="18"/>
              </w:rPr>
              <w:t>T*0.001</w:t>
            </w:r>
          </w:p>
        </w:tc>
      </w:tr>
      <w:tr w:rsidR="000A4704" w:rsidRPr="006C17B7" w14:paraId="08B1536B" w14:textId="77777777" w:rsidTr="00E52993">
        <w:trPr>
          <w:cantSplit/>
          <w:trHeight w:val="227"/>
        </w:trPr>
        <w:tc>
          <w:tcPr>
            <w:tcW w:w="3402" w:type="dxa"/>
          </w:tcPr>
          <w:p w14:paraId="4147841D" w14:textId="77777777" w:rsidR="000A4704" w:rsidRPr="006C17B7" w:rsidRDefault="000A4704" w:rsidP="00E52993">
            <w:pPr>
              <w:keepLines/>
              <w:widowControl/>
              <w:spacing w:before="20" w:after="20"/>
              <w:rPr>
                <w:rFonts w:cs="Arial"/>
                <w:sz w:val="18"/>
                <w:szCs w:val="18"/>
                <w:lang w:val="en-AU" w:eastAsia="en-AU" w:bidi="ar-SA"/>
              </w:rPr>
            </w:pPr>
            <w:r w:rsidRPr="006C17B7">
              <w:rPr>
                <w:sz w:val="18"/>
              </w:rPr>
              <w:t>Pig liver</w:t>
            </w:r>
          </w:p>
        </w:tc>
        <w:tc>
          <w:tcPr>
            <w:tcW w:w="1021" w:type="dxa"/>
          </w:tcPr>
          <w:p w14:paraId="6FA42F23" w14:textId="77777777" w:rsidR="000A4704" w:rsidRPr="006C17B7" w:rsidRDefault="000A4704" w:rsidP="00E52993">
            <w:pPr>
              <w:keepLines/>
              <w:widowControl/>
              <w:spacing w:before="20" w:after="20"/>
              <w:jc w:val="right"/>
              <w:rPr>
                <w:rFonts w:eastAsiaTheme="minorHAnsi" w:cs="Arial"/>
                <w:sz w:val="18"/>
                <w:szCs w:val="18"/>
                <w:lang w:val="en-AU" w:bidi="ar-SA"/>
              </w:rPr>
            </w:pPr>
            <w:r w:rsidRPr="006C17B7">
              <w:rPr>
                <w:sz w:val="18"/>
              </w:rPr>
              <w:t>T0.004</w:t>
            </w:r>
          </w:p>
        </w:tc>
      </w:tr>
      <w:tr w:rsidR="000A4704" w:rsidRPr="006C17B7" w14:paraId="42911B23" w14:textId="77777777" w:rsidTr="00E52993">
        <w:trPr>
          <w:cantSplit/>
          <w:trHeight w:val="227"/>
        </w:trPr>
        <w:tc>
          <w:tcPr>
            <w:tcW w:w="3402" w:type="dxa"/>
          </w:tcPr>
          <w:p w14:paraId="15D9F389" w14:textId="77777777" w:rsidR="000A4704" w:rsidRPr="006C17B7" w:rsidRDefault="000A4704" w:rsidP="00E52993">
            <w:pPr>
              <w:keepLines/>
              <w:widowControl/>
              <w:spacing w:before="20" w:after="20"/>
              <w:rPr>
                <w:rFonts w:cs="Arial"/>
                <w:sz w:val="18"/>
                <w:szCs w:val="18"/>
                <w:lang w:val="en-AU" w:eastAsia="en-AU" w:bidi="ar-SA"/>
              </w:rPr>
            </w:pPr>
            <w:r w:rsidRPr="006C17B7">
              <w:rPr>
                <w:sz w:val="18"/>
              </w:rPr>
              <w:t>Pig meat</w:t>
            </w:r>
          </w:p>
        </w:tc>
        <w:tc>
          <w:tcPr>
            <w:tcW w:w="1021" w:type="dxa"/>
          </w:tcPr>
          <w:p w14:paraId="65608311" w14:textId="77777777" w:rsidR="000A4704" w:rsidRPr="006C17B7" w:rsidRDefault="000A4704" w:rsidP="00E52993">
            <w:pPr>
              <w:keepLines/>
              <w:widowControl/>
              <w:spacing w:before="20" w:after="20"/>
              <w:jc w:val="right"/>
              <w:rPr>
                <w:rFonts w:eastAsiaTheme="minorHAnsi" w:cs="Arial"/>
                <w:sz w:val="18"/>
                <w:szCs w:val="18"/>
                <w:lang w:val="en-AU" w:bidi="ar-SA"/>
              </w:rPr>
            </w:pPr>
            <w:r w:rsidRPr="006C17B7">
              <w:rPr>
                <w:sz w:val="18"/>
              </w:rPr>
              <w:t>T*0.001</w:t>
            </w:r>
          </w:p>
        </w:tc>
      </w:tr>
    </w:tbl>
    <w:p w14:paraId="53CAE023" w14:textId="77777777" w:rsidR="000A4704" w:rsidRDefault="000A4704" w:rsidP="000A4704">
      <w:pPr>
        <w:tabs>
          <w:tab w:val="left" w:pos="851"/>
        </w:tabs>
        <w:jc w:val="center"/>
        <w:rPr>
          <w:sz w:val="20"/>
          <w:szCs w:val="20"/>
        </w:rPr>
      </w:pPr>
      <w:r w:rsidRPr="002B2402">
        <w:rPr>
          <w:sz w:val="20"/>
          <w:szCs w:val="20"/>
        </w:rPr>
        <w:t>”</w:t>
      </w:r>
    </w:p>
    <w:p w14:paraId="29057110" w14:textId="77777777" w:rsidR="000A4704" w:rsidRPr="002B2402" w:rsidRDefault="000A4704" w:rsidP="000A4704">
      <w:pPr>
        <w:tabs>
          <w:tab w:val="left" w:pos="851"/>
        </w:tabs>
        <w:jc w:val="center"/>
        <w:rPr>
          <w:sz w:val="20"/>
          <w:szCs w:val="20"/>
        </w:rPr>
      </w:pPr>
    </w:p>
    <w:p w14:paraId="50CF3E31" w14:textId="77777777" w:rsidR="000A4704" w:rsidRPr="002B2402" w:rsidRDefault="000A4704" w:rsidP="000A4704">
      <w:pPr>
        <w:tabs>
          <w:tab w:val="left" w:pos="851"/>
        </w:tabs>
        <w:rPr>
          <w:iCs/>
          <w:sz w:val="20"/>
          <w:szCs w:val="20"/>
        </w:rPr>
      </w:pPr>
      <w:r w:rsidRPr="002B2402">
        <w:rPr>
          <w:sz w:val="20"/>
          <w:szCs w:val="20"/>
        </w:rPr>
        <w:t>“</w:t>
      </w: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0A4704" w:rsidRPr="006C17B7" w14:paraId="24B23219" w14:textId="77777777" w:rsidTr="00E52993">
        <w:trPr>
          <w:cantSplit/>
          <w:trHeight w:val="64"/>
        </w:trPr>
        <w:tc>
          <w:tcPr>
            <w:tcW w:w="4423" w:type="dxa"/>
            <w:gridSpan w:val="2"/>
            <w:tcBorders>
              <w:top w:val="single" w:sz="6" w:space="0" w:color="auto"/>
              <w:bottom w:val="nil"/>
            </w:tcBorders>
            <w:shd w:val="pct10" w:color="auto" w:fill="auto"/>
          </w:tcPr>
          <w:p w14:paraId="3991AD4D" w14:textId="77777777" w:rsidR="000A4704" w:rsidRPr="006C17B7" w:rsidRDefault="000A4704" w:rsidP="00E52993">
            <w:pPr>
              <w:pStyle w:val="142tableheading1"/>
              <w:rPr>
                <w:rFonts w:ascii="Arial" w:hAnsi="Arial" w:cs="Arial"/>
                <w:iCs/>
                <w:szCs w:val="18"/>
                <w:lang w:bidi="ar-SA"/>
              </w:rPr>
            </w:pPr>
            <w:r w:rsidRPr="006C17B7">
              <w:rPr>
                <w:smallCaps w:val="0"/>
                <w:szCs w:val="18"/>
              </w:rPr>
              <w:t>Warfarin</w:t>
            </w:r>
          </w:p>
        </w:tc>
      </w:tr>
      <w:tr w:rsidR="000A4704" w:rsidRPr="006C17B7" w14:paraId="1286B5D3" w14:textId="77777777" w:rsidTr="00E52993">
        <w:trPr>
          <w:cantSplit/>
        </w:trPr>
        <w:tc>
          <w:tcPr>
            <w:tcW w:w="4423" w:type="dxa"/>
            <w:gridSpan w:val="2"/>
            <w:tcBorders>
              <w:top w:val="nil"/>
              <w:bottom w:val="single" w:sz="6" w:space="0" w:color="auto"/>
            </w:tcBorders>
            <w:shd w:val="pct10" w:color="auto" w:fill="auto"/>
          </w:tcPr>
          <w:p w14:paraId="6338BBBA" w14:textId="77777777" w:rsidR="000A4704" w:rsidRPr="006C17B7" w:rsidRDefault="000A4704" w:rsidP="00E52993">
            <w:pPr>
              <w:keepNext/>
              <w:jc w:val="center"/>
              <w:rPr>
                <w:rFonts w:cs="Arial"/>
                <w:bCs/>
                <w:iCs/>
                <w:sz w:val="18"/>
                <w:szCs w:val="18"/>
                <w:lang w:bidi="ar-SA"/>
              </w:rPr>
            </w:pPr>
            <w:r w:rsidRPr="006C17B7">
              <w:rPr>
                <w:sz w:val="18"/>
                <w:szCs w:val="18"/>
              </w:rPr>
              <w:t>Warfarin</w:t>
            </w:r>
          </w:p>
        </w:tc>
      </w:tr>
      <w:tr w:rsidR="000A4704" w:rsidRPr="006C17B7" w14:paraId="6F47A1F2" w14:textId="77777777" w:rsidTr="00E52993">
        <w:trPr>
          <w:cantSplit/>
          <w:trHeight w:val="227"/>
        </w:trPr>
        <w:tc>
          <w:tcPr>
            <w:tcW w:w="3402" w:type="dxa"/>
            <w:tcBorders>
              <w:top w:val="single" w:sz="6" w:space="0" w:color="auto"/>
            </w:tcBorders>
          </w:tcPr>
          <w:p w14:paraId="54FA1EAB" w14:textId="77777777" w:rsidR="000A4704" w:rsidRPr="006C17B7" w:rsidRDefault="000A4704" w:rsidP="00E52993">
            <w:pPr>
              <w:keepLines/>
              <w:widowControl/>
              <w:spacing w:before="20" w:after="20"/>
              <w:rPr>
                <w:rFonts w:cs="Arial"/>
                <w:sz w:val="18"/>
                <w:szCs w:val="18"/>
                <w:lang w:val="en-AU" w:eastAsia="en-AU" w:bidi="ar-SA"/>
              </w:rPr>
            </w:pPr>
            <w:r w:rsidRPr="006C17B7">
              <w:rPr>
                <w:sz w:val="18"/>
                <w:szCs w:val="18"/>
              </w:rPr>
              <w:t xml:space="preserve">Pig, edible offal [except liver] </w:t>
            </w:r>
          </w:p>
        </w:tc>
        <w:tc>
          <w:tcPr>
            <w:tcW w:w="1021" w:type="dxa"/>
            <w:tcBorders>
              <w:top w:val="single" w:sz="6" w:space="0" w:color="auto"/>
            </w:tcBorders>
          </w:tcPr>
          <w:p w14:paraId="1A7756BF" w14:textId="77777777" w:rsidR="000A4704" w:rsidRPr="006C17B7" w:rsidRDefault="000A4704" w:rsidP="00E52993">
            <w:pPr>
              <w:keepLines/>
              <w:widowControl/>
              <w:spacing w:before="20" w:after="20"/>
              <w:jc w:val="right"/>
              <w:rPr>
                <w:rFonts w:eastAsiaTheme="minorHAnsi" w:cs="Arial"/>
                <w:sz w:val="18"/>
                <w:szCs w:val="18"/>
                <w:lang w:val="en-AU" w:bidi="ar-SA"/>
              </w:rPr>
            </w:pPr>
            <w:r w:rsidRPr="006C17B7">
              <w:rPr>
                <w:sz w:val="18"/>
                <w:szCs w:val="18"/>
              </w:rPr>
              <w:t>T0.007</w:t>
            </w:r>
          </w:p>
        </w:tc>
      </w:tr>
      <w:tr w:rsidR="000A4704" w:rsidRPr="006C17B7" w14:paraId="1DDE2626" w14:textId="77777777" w:rsidTr="00E52993">
        <w:trPr>
          <w:cantSplit/>
          <w:trHeight w:val="227"/>
        </w:trPr>
        <w:tc>
          <w:tcPr>
            <w:tcW w:w="3402" w:type="dxa"/>
          </w:tcPr>
          <w:p w14:paraId="2A1CA279" w14:textId="77777777" w:rsidR="000A4704" w:rsidRPr="006C17B7" w:rsidRDefault="000A4704" w:rsidP="00E52993">
            <w:pPr>
              <w:keepLines/>
              <w:widowControl/>
              <w:spacing w:before="20" w:after="20"/>
              <w:rPr>
                <w:rFonts w:cs="Arial"/>
                <w:sz w:val="18"/>
                <w:szCs w:val="18"/>
                <w:lang w:val="en-AU" w:eastAsia="en-AU" w:bidi="ar-SA"/>
              </w:rPr>
            </w:pPr>
            <w:r w:rsidRPr="006C17B7">
              <w:rPr>
                <w:sz w:val="18"/>
                <w:szCs w:val="18"/>
              </w:rPr>
              <w:t>Pig fat</w:t>
            </w:r>
          </w:p>
        </w:tc>
        <w:tc>
          <w:tcPr>
            <w:tcW w:w="1021" w:type="dxa"/>
          </w:tcPr>
          <w:p w14:paraId="2791C277" w14:textId="77777777" w:rsidR="000A4704" w:rsidRPr="006C17B7" w:rsidRDefault="000A4704" w:rsidP="00E52993">
            <w:pPr>
              <w:keepLines/>
              <w:widowControl/>
              <w:spacing w:before="20" w:after="20"/>
              <w:jc w:val="right"/>
              <w:rPr>
                <w:rFonts w:eastAsiaTheme="minorHAnsi" w:cs="Arial"/>
                <w:sz w:val="18"/>
                <w:szCs w:val="18"/>
                <w:lang w:val="en-AU" w:bidi="ar-SA"/>
              </w:rPr>
            </w:pPr>
            <w:r w:rsidRPr="006C17B7">
              <w:rPr>
                <w:sz w:val="18"/>
                <w:szCs w:val="18"/>
              </w:rPr>
              <w:t>T0.007</w:t>
            </w:r>
          </w:p>
        </w:tc>
      </w:tr>
      <w:tr w:rsidR="000A4704" w:rsidRPr="006C17B7" w14:paraId="2CCFE10C" w14:textId="77777777" w:rsidTr="00E52993">
        <w:trPr>
          <w:cantSplit/>
          <w:trHeight w:val="227"/>
        </w:trPr>
        <w:tc>
          <w:tcPr>
            <w:tcW w:w="3402" w:type="dxa"/>
          </w:tcPr>
          <w:p w14:paraId="6E6A4E41" w14:textId="77777777" w:rsidR="000A4704" w:rsidRPr="006C17B7" w:rsidRDefault="000A4704" w:rsidP="00E52993">
            <w:pPr>
              <w:keepLines/>
              <w:widowControl/>
              <w:spacing w:before="20" w:after="20"/>
              <w:rPr>
                <w:rFonts w:cs="Arial"/>
                <w:sz w:val="18"/>
                <w:szCs w:val="18"/>
                <w:lang w:val="en-AU" w:eastAsia="en-AU" w:bidi="ar-SA"/>
              </w:rPr>
            </w:pPr>
            <w:r w:rsidRPr="006C17B7">
              <w:rPr>
                <w:sz w:val="18"/>
                <w:szCs w:val="18"/>
              </w:rPr>
              <w:t>Pig liver</w:t>
            </w:r>
          </w:p>
        </w:tc>
        <w:tc>
          <w:tcPr>
            <w:tcW w:w="1021" w:type="dxa"/>
          </w:tcPr>
          <w:p w14:paraId="7F48F444" w14:textId="77777777" w:rsidR="000A4704" w:rsidRPr="006C17B7" w:rsidRDefault="000A4704" w:rsidP="00E52993">
            <w:pPr>
              <w:keepLines/>
              <w:widowControl/>
              <w:spacing w:before="20" w:after="20"/>
              <w:jc w:val="right"/>
              <w:rPr>
                <w:rFonts w:eastAsiaTheme="minorHAnsi" w:cs="Arial"/>
                <w:sz w:val="18"/>
                <w:szCs w:val="18"/>
                <w:lang w:val="en-AU" w:bidi="ar-SA"/>
              </w:rPr>
            </w:pPr>
            <w:r w:rsidRPr="006C17B7">
              <w:rPr>
                <w:sz w:val="18"/>
                <w:szCs w:val="18"/>
              </w:rPr>
              <w:t>T0.04</w:t>
            </w:r>
          </w:p>
        </w:tc>
      </w:tr>
      <w:tr w:rsidR="000A4704" w:rsidRPr="006C17B7" w14:paraId="745ACEDE" w14:textId="77777777" w:rsidTr="00E52993">
        <w:trPr>
          <w:cantSplit/>
          <w:trHeight w:val="227"/>
        </w:trPr>
        <w:tc>
          <w:tcPr>
            <w:tcW w:w="3402" w:type="dxa"/>
          </w:tcPr>
          <w:p w14:paraId="3DF94514" w14:textId="77777777" w:rsidR="000A4704" w:rsidRPr="006C17B7" w:rsidRDefault="000A4704" w:rsidP="00E52993">
            <w:pPr>
              <w:keepLines/>
              <w:widowControl/>
              <w:spacing w:before="20" w:after="20"/>
              <w:rPr>
                <w:rFonts w:cs="Arial"/>
                <w:sz w:val="18"/>
                <w:szCs w:val="18"/>
                <w:lang w:val="en-AU" w:eastAsia="en-AU" w:bidi="ar-SA"/>
              </w:rPr>
            </w:pPr>
            <w:r w:rsidRPr="006C17B7">
              <w:rPr>
                <w:sz w:val="18"/>
                <w:szCs w:val="18"/>
              </w:rPr>
              <w:t>Pig meat</w:t>
            </w:r>
          </w:p>
        </w:tc>
        <w:tc>
          <w:tcPr>
            <w:tcW w:w="1021" w:type="dxa"/>
          </w:tcPr>
          <w:p w14:paraId="1EDBE131" w14:textId="77777777" w:rsidR="000A4704" w:rsidRPr="006C17B7" w:rsidRDefault="000A4704" w:rsidP="00E52993">
            <w:pPr>
              <w:keepLines/>
              <w:widowControl/>
              <w:spacing w:before="20" w:after="20"/>
              <w:jc w:val="right"/>
              <w:rPr>
                <w:rFonts w:eastAsiaTheme="minorHAnsi" w:cs="Arial"/>
                <w:sz w:val="18"/>
                <w:szCs w:val="18"/>
                <w:lang w:val="en-AU" w:bidi="ar-SA"/>
              </w:rPr>
            </w:pPr>
            <w:r w:rsidRPr="006C17B7">
              <w:rPr>
                <w:sz w:val="18"/>
                <w:szCs w:val="18"/>
              </w:rPr>
              <w:t>T0.007</w:t>
            </w:r>
          </w:p>
        </w:tc>
      </w:tr>
    </w:tbl>
    <w:p w14:paraId="5ABF1215" w14:textId="77777777" w:rsidR="000A4704" w:rsidRPr="002B2402" w:rsidRDefault="000A4704" w:rsidP="000A4704">
      <w:pPr>
        <w:tabs>
          <w:tab w:val="left" w:pos="851"/>
        </w:tabs>
        <w:jc w:val="center"/>
        <w:rPr>
          <w:sz w:val="20"/>
          <w:szCs w:val="20"/>
        </w:rPr>
      </w:pPr>
      <w:r w:rsidRPr="002B2402">
        <w:rPr>
          <w:sz w:val="20"/>
          <w:szCs w:val="20"/>
        </w:rPr>
        <w:t>”</w:t>
      </w:r>
    </w:p>
    <w:p w14:paraId="3C179F54" w14:textId="77777777" w:rsidR="00B8454B" w:rsidRDefault="00B8454B">
      <w:pPr>
        <w:widowControl/>
        <w:rPr>
          <w:lang w:bidi="ar-SA"/>
        </w:rPr>
      </w:pPr>
      <w:r>
        <w:rPr>
          <w:lang w:bidi="ar-SA"/>
        </w:rPr>
        <w:br w:type="page"/>
      </w:r>
    </w:p>
    <w:p w14:paraId="38AF91EA" w14:textId="6849B4C4" w:rsidR="007D0189" w:rsidRDefault="004A4DC2" w:rsidP="007D0189">
      <w:pPr>
        <w:pStyle w:val="Heading2"/>
        <w:ind w:left="0" w:firstLine="0"/>
      </w:pPr>
      <w:bookmarkStart w:id="111" w:name="_Toc120358598"/>
      <w:bookmarkStart w:id="112" w:name="_Toc175381460"/>
      <w:bookmarkStart w:id="113" w:name="_Toc427156673"/>
      <w:r>
        <w:lastRenderedPageBreak/>
        <w:t xml:space="preserve">Attachment B – </w:t>
      </w:r>
      <w:r w:rsidR="007D0189">
        <w:t>Explanatory Statement</w:t>
      </w:r>
      <w:bookmarkEnd w:id="113"/>
    </w:p>
    <w:p w14:paraId="427D9F0A" w14:textId="77777777"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14:paraId="684B2516" w14:textId="77777777" w:rsidR="000576EB" w:rsidRDefault="000576EB" w:rsidP="000576EB">
      <w:pPr>
        <w:rPr>
          <w:lang w:val="en-AU" w:eastAsia="en-GB" w:bidi="ar-SA"/>
        </w:rPr>
      </w:pPr>
    </w:p>
    <w:p w14:paraId="25DAB0C2"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1BBCE4E" w14:textId="77777777" w:rsidR="000576EB" w:rsidRPr="00B8454B" w:rsidRDefault="000576EB" w:rsidP="000576EB">
      <w:pPr>
        <w:widowControl/>
        <w:autoSpaceDE w:val="0"/>
        <w:autoSpaceDN w:val="0"/>
        <w:adjustRightInd w:val="0"/>
        <w:rPr>
          <w:rFonts w:eastAsia="Calibri" w:cs="Arial"/>
          <w:bCs/>
          <w:szCs w:val="22"/>
          <w:lang w:val="en-AU" w:bidi="ar-SA"/>
        </w:rPr>
      </w:pPr>
    </w:p>
    <w:p w14:paraId="6419FF45" w14:textId="77777777" w:rsidR="000576EB" w:rsidRPr="00B8454B" w:rsidRDefault="00DE5528" w:rsidP="000576EB">
      <w:pPr>
        <w:widowControl/>
        <w:autoSpaceDE w:val="0"/>
        <w:autoSpaceDN w:val="0"/>
        <w:adjustRightInd w:val="0"/>
        <w:rPr>
          <w:rFonts w:eastAsia="Calibri" w:cs="Arial"/>
          <w:bCs/>
          <w:szCs w:val="22"/>
          <w:lang w:val="en-AU" w:bidi="ar-SA"/>
        </w:rPr>
      </w:pPr>
      <w:r w:rsidRPr="00B8454B">
        <w:rPr>
          <w:rFonts w:eastAsia="Calibri" w:cs="Arial"/>
          <w:bCs/>
          <w:szCs w:val="22"/>
          <w:lang w:val="en-AU" w:bidi="ar-SA"/>
        </w:rPr>
        <w:t>Division 2</w:t>
      </w:r>
      <w:r w:rsidR="000576EB" w:rsidRPr="00B8454B">
        <w:rPr>
          <w:rFonts w:eastAsia="Calibri" w:cs="Arial"/>
          <w:bCs/>
          <w:szCs w:val="22"/>
          <w:lang w:val="en-AU" w:bidi="ar-SA"/>
        </w:rPr>
        <w:t xml:space="preserve"> of Part </w:t>
      </w:r>
      <w:r w:rsidRPr="00B8454B">
        <w:rPr>
          <w:rFonts w:eastAsia="Calibri" w:cs="Arial"/>
          <w:bCs/>
          <w:szCs w:val="22"/>
          <w:lang w:val="en-AU" w:bidi="ar-SA"/>
        </w:rPr>
        <w:t>3</w:t>
      </w:r>
      <w:r w:rsidR="000576EB" w:rsidRPr="00B8454B">
        <w:rPr>
          <w:rFonts w:eastAsia="Calibri" w:cs="Arial"/>
          <w:bCs/>
          <w:szCs w:val="22"/>
          <w:lang w:val="en-AU" w:bidi="ar-SA"/>
        </w:rPr>
        <w:t xml:space="preserve"> of the FSANZ Act specifies that the Authority may prepare a proposal for the development or variation of food regulatory measures, including standards. This Division also stipulates t</w:t>
      </w:r>
      <w:r w:rsidRPr="00B8454B">
        <w:rPr>
          <w:rFonts w:eastAsia="Calibri" w:cs="Arial"/>
          <w:bCs/>
          <w:szCs w:val="22"/>
          <w:lang w:val="en-AU" w:bidi="ar-SA"/>
        </w:rPr>
        <w:t>he procedure for considering a p</w:t>
      </w:r>
      <w:r w:rsidR="000576EB" w:rsidRPr="00B8454B">
        <w:rPr>
          <w:rFonts w:eastAsia="Calibri" w:cs="Arial"/>
          <w:bCs/>
          <w:szCs w:val="22"/>
          <w:lang w:val="en-AU" w:bidi="ar-SA"/>
        </w:rPr>
        <w:t>roposal for the development or variation of food regulatory measures</w:t>
      </w:r>
      <w:r w:rsidR="00EC66BB" w:rsidRPr="00B8454B">
        <w:rPr>
          <w:rFonts w:eastAsia="Calibri" w:cs="Arial"/>
          <w:bCs/>
          <w:szCs w:val="22"/>
          <w:lang w:val="en-AU" w:bidi="ar-SA"/>
        </w:rPr>
        <w:t xml:space="preserve">. </w:t>
      </w:r>
    </w:p>
    <w:p w14:paraId="5462EE6E" w14:textId="77777777" w:rsidR="000576EB" w:rsidRPr="00B8454B" w:rsidRDefault="000576EB" w:rsidP="000576EB">
      <w:pPr>
        <w:widowControl/>
        <w:autoSpaceDE w:val="0"/>
        <w:autoSpaceDN w:val="0"/>
        <w:adjustRightInd w:val="0"/>
        <w:rPr>
          <w:rFonts w:eastAsia="Calibri" w:cs="Arial"/>
          <w:bCs/>
          <w:szCs w:val="22"/>
          <w:lang w:val="en-AU" w:bidi="ar-SA"/>
        </w:rPr>
      </w:pPr>
    </w:p>
    <w:p w14:paraId="7261CF2B" w14:textId="27C401E3" w:rsidR="000576EB" w:rsidRPr="00B8454B" w:rsidRDefault="002E16D5" w:rsidP="000576EB">
      <w:pPr>
        <w:widowControl/>
        <w:autoSpaceDE w:val="0"/>
        <w:autoSpaceDN w:val="0"/>
        <w:adjustRightInd w:val="0"/>
        <w:rPr>
          <w:rFonts w:eastAsia="Calibri" w:cs="Arial"/>
          <w:bCs/>
          <w:szCs w:val="22"/>
          <w:lang w:val="en-AU" w:bidi="ar-SA"/>
        </w:rPr>
      </w:pPr>
      <w:r w:rsidRPr="00B8454B">
        <w:rPr>
          <w:rFonts w:eastAsia="Calibri" w:cs="Arial"/>
          <w:bCs/>
          <w:szCs w:val="22"/>
          <w:lang w:val="en-AU" w:bidi="ar-SA"/>
        </w:rPr>
        <w:t>The Authority</w:t>
      </w:r>
      <w:r w:rsidR="000576EB" w:rsidRPr="00B8454B">
        <w:rPr>
          <w:rFonts w:eastAsia="Calibri" w:cs="Arial"/>
          <w:bCs/>
          <w:szCs w:val="22"/>
          <w:lang w:val="en-AU" w:bidi="ar-SA"/>
        </w:rPr>
        <w:t xml:space="preserve"> prepared Proposal </w:t>
      </w:r>
      <w:r w:rsidR="00B8454B" w:rsidRPr="00B8454B">
        <w:rPr>
          <w:rFonts w:eastAsia="Calibri" w:cs="Arial"/>
          <w:bCs/>
          <w:szCs w:val="22"/>
          <w:lang w:val="en-AU" w:bidi="ar-SA"/>
        </w:rPr>
        <w:t xml:space="preserve">M1012 to consider introducing certain temporary maximum residue limits (MRLs) for residues of agricultural and veterinary (agvet) chemicals that may occur in food, in order to align standards with the Australian Pesticides and Veterinary Medicines Authority (APVMA) temporary MRLs for coumatetralyl and warfarin in pork commodities. </w:t>
      </w:r>
      <w:r w:rsidR="000576EB" w:rsidRPr="00B8454B">
        <w:rPr>
          <w:rFonts w:eastAsia="Calibri" w:cs="Arial"/>
          <w:bCs/>
          <w:szCs w:val="22"/>
          <w:lang w:val="en-AU" w:bidi="ar-SA"/>
        </w:rPr>
        <w:t xml:space="preserve">The Authority considered </w:t>
      </w:r>
      <w:r w:rsidR="00076D3B" w:rsidRPr="00B8454B">
        <w:rPr>
          <w:rFonts w:eastAsia="Calibri" w:cs="Arial"/>
          <w:bCs/>
          <w:szCs w:val="22"/>
          <w:lang w:val="en-AU" w:bidi="ar-SA"/>
        </w:rPr>
        <w:t xml:space="preserve">the </w:t>
      </w:r>
      <w:r w:rsidR="000576EB" w:rsidRPr="00B8454B">
        <w:rPr>
          <w:rFonts w:eastAsia="Calibri" w:cs="Arial"/>
          <w:bCs/>
          <w:szCs w:val="22"/>
          <w:lang w:val="en-AU" w:bidi="ar-SA"/>
        </w:rPr>
        <w:t xml:space="preserve">Proposal in accordance with Division 2 of Part 3 and has </w:t>
      </w:r>
      <w:r w:rsidR="00DE5528" w:rsidRPr="00B8454B">
        <w:rPr>
          <w:rFonts w:eastAsia="Calibri" w:cs="Arial"/>
          <w:bCs/>
          <w:szCs w:val="22"/>
          <w:lang w:val="en-AU" w:bidi="ar-SA"/>
        </w:rPr>
        <w:t>approved</w:t>
      </w:r>
      <w:r w:rsidR="000576EB" w:rsidRPr="00B8454B">
        <w:rPr>
          <w:rFonts w:eastAsia="Calibri" w:cs="Arial"/>
          <w:bCs/>
          <w:szCs w:val="22"/>
          <w:lang w:val="en-AU" w:bidi="ar-SA"/>
        </w:rPr>
        <w:t xml:space="preserve"> a draft </w:t>
      </w:r>
      <w:r w:rsidR="00AD4858">
        <w:rPr>
          <w:rFonts w:eastAsia="Calibri" w:cs="Arial"/>
          <w:bCs/>
          <w:szCs w:val="22"/>
          <w:lang w:val="en-AU" w:bidi="ar-SA"/>
        </w:rPr>
        <w:t>variation</w:t>
      </w:r>
      <w:r w:rsidR="000576EB" w:rsidRPr="00B8454B">
        <w:rPr>
          <w:rFonts w:eastAsia="Calibri" w:cs="Arial"/>
          <w:bCs/>
          <w:szCs w:val="22"/>
          <w:lang w:val="en-AU" w:bidi="ar-SA"/>
        </w:rPr>
        <w:t xml:space="preserve">. </w:t>
      </w:r>
    </w:p>
    <w:p w14:paraId="2D55A354" w14:textId="77777777" w:rsidR="000576EB" w:rsidRPr="00D13E34" w:rsidRDefault="000576EB" w:rsidP="000576EB">
      <w:pPr>
        <w:widowControl/>
        <w:autoSpaceDE w:val="0"/>
        <w:autoSpaceDN w:val="0"/>
        <w:adjustRightInd w:val="0"/>
        <w:rPr>
          <w:rFonts w:eastAsia="Calibri" w:cs="Arial"/>
          <w:bCs/>
          <w:szCs w:val="22"/>
          <w:lang w:val="en-AU" w:bidi="ar-SA"/>
        </w:rPr>
      </w:pPr>
    </w:p>
    <w:p w14:paraId="496786FC"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011187">
        <w:rPr>
          <w:rFonts w:cs="Helvetica"/>
          <w:lang w:val="en-AU"/>
        </w:rPr>
        <w:t xml:space="preserve">Australia and New Zealand Ministerial Forum on Food </w:t>
      </w:r>
      <w:r w:rsidR="00011187">
        <w:rPr>
          <w:rFonts w:cs="Arial"/>
        </w:rPr>
        <w:t>Regulation</w:t>
      </w:r>
      <w:r w:rsidR="00011187">
        <w:rPr>
          <w:rStyle w:val="FootnoteReference"/>
          <w:rFonts w:cs="Arial"/>
        </w:rPr>
        <w:footnoteReference w:id="12"/>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3B2579A" w14:textId="77777777" w:rsidR="000576EB" w:rsidRPr="00D13E34" w:rsidRDefault="000576EB" w:rsidP="000576EB">
      <w:pPr>
        <w:widowControl/>
        <w:autoSpaceDE w:val="0"/>
        <w:autoSpaceDN w:val="0"/>
        <w:adjustRightInd w:val="0"/>
        <w:rPr>
          <w:rFonts w:eastAsia="Calibri" w:cs="Arial"/>
          <w:bCs/>
          <w:szCs w:val="22"/>
          <w:lang w:val="en-AU" w:bidi="ar-SA"/>
        </w:rPr>
      </w:pPr>
    </w:p>
    <w:p w14:paraId="0BD7718F" w14:textId="77777777"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14:paraId="632C40C8" w14:textId="77777777" w:rsidR="000576EB" w:rsidRDefault="000576EB" w:rsidP="000576EB">
      <w:pPr>
        <w:rPr>
          <w:lang w:val="en-AU" w:eastAsia="en-GB" w:bidi="ar-SA"/>
        </w:rPr>
      </w:pPr>
    </w:p>
    <w:p w14:paraId="33BE1D96" w14:textId="77777777" w:rsidR="00683071" w:rsidRDefault="00683071" w:rsidP="00683071">
      <w:pPr>
        <w:rPr>
          <w:b/>
          <w:lang w:val="en-AU" w:eastAsia="en-GB" w:bidi="ar-SA"/>
        </w:rPr>
      </w:pPr>
      <w:r>
        <w:rPr>
          <w:b/>
          <w:lang w:val="en-AU" w:eastAsia="en-GB" w:bidi="ar-SA"/>
        </w:rPr>
        <w:t>2.</w:t>
      </w:r>
      <w:r>
        <w:rPr>
          <w:b/>
          <w:lang w:val="en-AU" w:eastAsia="en-GB" w:bidi="ar-SA"/>
        </w:rPr>
        <w:tab/>
        <w:t xml:space="preserve">Purpose </w:t>
      </w:r>
    </w:p>
    <w:p w14:paraId="6C6E15A5" w14:textId="35C0F0E9" w:rsidR="00B8454B" w:rsidRDefault="00B8454B" w:rsidP="00683071">
      <w:pPr>
        <w:rPr>
          <w:lang w:val="en-AU" w:eastAsia="en-GB" w:bidi="ar-SA"/>
        </w:rPr>
      </w:pPr>
    </w:p>
    <w:p w14:paraId="7FC07BDC" w14:textId="3C25C904" w:rsidR="00B8454B" w:rsidRPr="00B8454B" w:rsidRDefault="00AD4858" w:rsidP="00B8454B">
      <w:pPr>
        <w:pStyle w:val="Default"/>
        <w:rPr>
          <w:rFonts w:ascii="Arial" w:hAnsi="Arial" w:cs="Arial"/>
          <w:sz w:val="22"/>
          <w:szCs w:val="22"/>
        </w:rPr>
      </w:pPr>
      <w:r>
        <w:rPr>
          <w:rFonts w:ascii="Arial" w:hAnsi="Arial" w:cs="Arial"/>
          <w:sz w:val="22"/>
          <w:szCs w:val="22"/>
        </w:rPr>
        <w:t>The</w:t>
      </w:r>
      <w:r w:rsidR="00B8454B" w:rsidRPr="00B8454B">
        <w:rPr>
          <w:rFonts w:ascii="Arial" w:hAnsi="Arial" w:cs="Arial"/>
          <w:sz w:val="22"/>
          <w:szCs w:val="22"/>
        </w:rPr>
        <w:t xml:space="preserve"> </w:t>
      </w:r>
      <w:r>
        <w:rPr>
          <w:rFonts w:ascii="Arial" w:hAnsi="Arial" w:cs="Arial"/>
          <w:sz w:val="22"/>
          <w:szCs w:val="22"/>
        </w:rPr>
        <w:t xml:space="preserve">approved draft </w:t>
      </w:r>
      <w:r w:rsidR="00B8454B" w:rsidRPr="00B8454B">
        <w:rPr>
          <w:rFonts w:ascii="Arial" w:hAnsi="Arial" w:cs="Arial"/>
          <w:sz w:val="22"/>
          <w:szCs w:val="22"/>
        </w:rPr>
        <w:t>variation to Standard 1.4.2 include</w:t>
      </w:r>
      <w:r>
        <w:rPr>
          <w:rFonts w:ascii="Arial" w:hAnsi="Arial" w:cs="Arial"/>
          <w:sz w:val="22"/>
          <w:szCs w:val="22"/>
        </w:rPr>
        <w:t>s</w:t>
      </w:r>
      <w:r w:rsidR="00B8454B" w:rsidRPr="00B8454B">
        <w:rPr>
          <w:rFonts w:ascii="Arial" w:hAnsi="Arial" w:cs="Arial"/>
          <w:sz w:val="22"/>
          <w:szCs w:val="22"/>
        </w:rPr>
        <w:t xml:space="preserve"> temporary MRLs for residues </w:t>
      </w:r>
      <w:r w:rsidRPr="00B8454B">
        <w:rPr>
          <w:rFonts w:ascii="Arial" w:hAnsi="Arial" w:cs="Arial"/>
          <w:sz w:val="22"/>
          <w:szCs w:val="22"/>
        </w:rPr>
        <w:t xml:space="preserve">in pork commodities </w:t>
      </w:r>
      <w:r w:rsidR="00B8454B" w:rsidRPr="00B8454B">
        <w:rPr>
          <w:rFonts w:ascii="Arial" w:hAnsi="Arial" w:cs="Arial"/>
          <w:sz w:val="22"/>
          <w:szCs w:val="22"/>
        </w:rPr>
        <w:t xml:space="preserve">of the agvet chemicals coumatetralyl and warfarin. </w:t>
      </w:r>
    </w:p>
    <w:p w14:paraId="165CB643" w14:textId="77777777" w:rsidR="00B8454B" w:rsidRPr="00B8454B" w:rsidRDefault="00B8454B" w:rsidP="00B8454B">
      <w:pPr>
        <w:pStyle w:val="Default"/>
        <w:rPr>
          <w:rFonts w:ascii="Arial" w:hAnsi="Arial" w:cs="Arial"/>
          <w:sz w:val="22"/>
          <w:szCs w:val="22"/>
          <w:highlight w:val="lightGray"/>
        </w:rPr>
      </w:pPr>
    </w:p>
    <w:p w14:paraId="7DC8EE3F" w14:textId="77777777" w:rsidR="00B8454B" w:rsidRPr="00B8454B" w:rsidRDefault="00B8454B" w:rsidP="00B8454B">
      <w:pPr>
        <w:pStyle w:val="Default"/>
        <w:rPr>
          <w:rFonts w:ascii="Arial" w:hAnsi="Arial" w:cs="Arial"/>
          <w:sz w:val="22"/>
          <w:szCs w:val="22"/>
        </w:rPr>
      </w:pPr>
      <w:r w:rsidRPr="00B8454B">
        <w:rPr>
          <w:rFonts w:ascii="Arial" w:hAnsi="Arial" w:cs="Arial"/>
          <w:sz w:val="22"/>
          <w:szCs w:val="22"/>
        </w:rPr>
        <w:t xml:space="preserve">Standard 1.4.2 lists the limits for agvet chemical residues which may occur in foods. If a limit is not listed for a particular agricultural or veterinary chemical/food combination, there must be no detectable residues of that chemical in that food. This general prohibition means that, in the absence of the relevant limit in the Code, food may not be sold where there are detectable residues. </w:t>
      </w:r>
    </w:p>
    <w:p w14:paraId="2068D2C9" w14:textId="77777777" w:rsidR="00B8454B" w:rsidRPr="00B8454B" w:rsidRDefault="00B8454B" w:rsidP="00B8454B">
      <w:pPr>
        <w:pStyle w:val="Default"/>
        <w:rPr>
          <w:rFonts w:ascii="Arial" w:hAnsi="Arial" w:cs="Arial"/>
          <w:sz w:val="22"/>
          <w:szCs w:val="22"/>
        </w:rPr>
      </w:pPr>
    </w:p>
    <w:p w14:paraId="706B3212" w14:textId="77777777" w:rsidR="00B8454B" w:rsidRPr="00B8454B" w:rsidRDefault="00B8454B" w:rsidP="00B8454B">
      <w:pPr>
        <w:pStyle w:val="Default"/>
        <w:rPr>
          <w:rFonts w:ascii="Arial" w:hAnsi="Arial" w:cs="Arial"/>
          <w:sz w:val="22"/>
          <w:szCs w:val="22"/>
        </w:rPr>
      </w:pPr>
      <w:r w:rsidRPr="00B8454B">
        <w:rPr>
          <w:rFonts w:ascii="Arial" w:hAnsi="Arial" w:cs="Arial"/>
          <w:sz w:val="22"/>
          <w:szCs w:val="22"/>
        </w:rPr>
        <w:t xml:space="preserve">MRL variations may be required to permit the sale of foods containing legitimate residues. These are technical amendments that align Standard 1.4.2 with the APVMA’s Agricultural and Veterinary Chemicals Code Instrument No.4 (MRL Standard). </w:t>
      </w:r>
    </w:p>
    <w:p w14:paraId="5B6CE090" w14:textId="77777777" w:rsidR="00B8454B" w:rsidRPr="00B8454B" w:rsidRDefault="00B8454B" w:rsidP="00B8454B">
      <w:pPr>
        <w:pStyle w:val="Default"/>
        <w:rPr>
          <w:rFonts w:ascii="Arial" w:hAnsi="Arial" w:cs="Arial"/>
          <w:sz w:val="22"/>
          <w:szCs w:val="22"/>
        </w:rPr>
      </w:pPr>
    </w:p>
    <w:p w14:paraId="7AEFD019" w14:textId="77777777" w:rsidR="00B8454B" w:rsidRPr="00B8454B" w:rsidRDefault="00B8454B" w:rsidP="00B8454B">
      <w:pPr>
        <w:rPr>
          <w:rFonts w:cs="Arial"/>
          <w:szCs w:val="22"/>
        </w:rPr>
      </w:pPr>
      <w:r w:rsidRPr="00B8454B">
        <w:rPr>
          <w:rFonts w:cs="Arial"/>
          <w:szCs w:val="22"/>
        </w:rPr>
        <w:t>A dietary exposure assessment is conducted before MRLs are varied to ensure that proposed limits do not present any public health or safety concerns.</w:t>
      </w:r>
    </w:p>
    <w:p w14:paraId="7218A00C" w14:textId="77777777" w:rsidR="00B8454B" w:rsidRDefault="00B8454B" w:rsidP="00683071">
      <w:pPr>
        <w:rPr>
          <w:lang w:val="en-AU" w:eastAsia="en-GB" w:bidi="ar-SA"/>
        </w:rPr>
      </w:pPr>
    </w:p>
    <w:p w14:paraId="244F03FF" w14:textId="77777777"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14:paraId="065906D0" w14:textId="77777777" w:rsidR="000576EB" w:rsidRDefault="000576EB" w:rsidP="000576EB">
      <w:pPr>
        <w:rPr>
          <w:lang w:val="en-AU" w:eastAsia="en-GB" w:bidi="ar-SA"/>
        </w:rPr>
      </w:pPr>
    </w:p>
    <w:p w14:paraId="2066FD61"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A134556" w14:textId="77777777" w:rsidR="000576EB" w:rsidRDefault="000576EB" w:rsidP="000576EB">
      <w:pPr>
        <w:rPr>
          <w:lang w:val="en-AU" w:eastAsia="en-GB" w:bidi="ar-SA"/>
        </w:rPr>
      </w:pPr>
    </w:p>
    <w:p w14:paraId="7EB4E8A4" w14:textId="77777777" w:rsidR="004B272E" w:rsidRDefault="004B272E" w:rsidP="000576EB">
      <w:pPr>
        <w:rPr>
          <w:b/>
          <w:lang w:val="en-AU" w:eastAsia="en-GB" w:bidi="ar-SA"/>
        </w:rPr>
      </w:pPr>
      <w:r>
        <w:rPr>
          <w:b/>
          <w:lang w:val="en-AU" w:eastAsia="en-GB" w:bidi="ar-SA"/>
        </w:rPr>
        <w:br w:type="page"/>
      </w:r>
    </w:p>
    <w:p w14:paraId="4057B894" w14:textId="4E250EC8" w:rsidR="000576EB" w:rsidRPr="000576EB" w:rsidRDefault="000576EB" w:rsidP="000576EB">
      <w:pPr>
        <w:rPr>
          <w:b/>
          <w:lang w:val="en-AU" w:eastAsia="en-GB" w:bidi="ar-SA"/>
        </w:rPr>
      </w:pPr>
      <w:r w:rsidRPr="000576EB">
        <w:rPr>
          <w:b/>
          <w:lang w:val="en-AU" w:eastAsia="en-GB" w:bidi="ar-SA"/>
        </w:rPr>
        <w:lastRenderedPageBreak/>
        <w:t>4.</w:t>
      </w:r>
      <w:r w:rsidRPr="000576EB">
        <w:rPr>
          <w:b/>
          <w:lang w:val="en-AU" w:eastAsia="en-GB" w:bidi="ar-SA"/>
        </w:rPr>
        <w:tab/>
        <w:t>Consultation</w:t>
      </w:r>
    </w:p>
    <w:p w14:paraId="0050D26C" w14:textId="77777777" w:rsidR="000576EB" w:rsidRDefault="000576EB" w:rsidP="000576EB">
      <w:pPr>
        <w:rPr>
          <w:lang w:val="en-AU" w:eastAsia="en-GB" w:bidi="ar-SA"/>
        </w:rPr>
      </w:pPr>
    </w:p>
    <w:p w14:paraId="37A525BE" w14:textId="26115992" w:rsidR="00D06616" w:rsidRPr="00F57071" w:rsidRDefault="00D06616" w:rsidP="00D06616">
      <w:pPr>
        <w:rPr>
          <w:szCs w:val="22"/>
        </w:rPr>
      </w:pPr>
      <w:r w:rsidRPr="00F634A1">
        <w:rPr>
          <w:szCs w:val="22"/>
        </w:rPr>
        <w:t xml:space="preserve">In accordance </w:t>
      </w:r>
      <w:r w:rsidR="00F634A1" w:rsidRPr="00F57071">
        <w:rPr>
          <w:szCs w:val="22"/>
        </w:rPr>
        <w:t xml:space="preserve">with the procedure in Division </w:t>
      </w:r>
      <w:r w:rsidR="00F57071" w:rsidRPr="00F57071">
        <w:rPr>
          <w:szCs w:val="22"/>
        </w:rPr>
        <w:t>2</w:t>
      </w:r>
      <w:r w:rsidR="00F634A1" w:rsidRPr="00F57071">
        <w:rPr>
          <w:szCs w:val="22"/>
        </w:rPr>
        <w:t xml:space="preserve"> of Part </w:t>
      </w:r>
      <w:r w:rsidR="00F57071" w:rsidRPr="00F57071">
        <w:rPr>
          <w:szCs w:val="22"/>
        </w:rPr>
        <w:t>3</w:t>
      </w:r>
      <w:r w:rsidRPr="00F57071">
        <w:rPr>
          <w:szCs w:val="22"/>
        </w:rPr>
        <w:t xml:space="preserve"> of the FSANZ Act, </w:t>
      </w:r>
      <w:r w:rsidRPr="00F57071">
        <w:rPr>
          <w:rFonts w:eastAsia="Calibri" w:cs="Arial"/>
          <w:bCs/>
          <w:szCs w:val="22"/>
          <w:lang w:val="en-AU" w:bidi="ar-SA"/>
        </w:rPr>
        <w:t>the Authority</w:t>
      </w:r>
      <w:r w:rsidRPr="00F57071">
        <w:rPr>
          <w:szCs w:val="22"/>
        </w:rPr>
        <w:t xml:space="preserve">’s consideration of Proposal </w:t>
      </w:r>
      <w:r w:rsidR="00F57071" w:rsidRPr="00F57071">
        <w:rPr>
          <w:szCs w:val="22"/>
        </w:rPr>
        <w:t>M1012</w:t>
      </w:r>
      <w:r w:rsidRPr="00F57071">
        <w:rPr>
          <w:szCs w:val="22"/>
        </w:rPr>
        <w:t xml:space="preserve"> included one round of public consultation</w:t>
      </w:r>
      <w:r w:rsidR="00F634A1" w:rsidRPr="00F57071">
        <w:rPr>
          <w:szCs w:val="22"/>
        </w:rPr>
        <w:t xml:space="preserve"> following an assessment and the preparation of a draft </w:t>
      </w:r>
      <w:r w:rsidR="00DE5528" w:rsidRPr="00F57071">
        <w:rPr>
          <w:szCs w:val="22"/>
        </w:rPr>
        <w:t>Standard</w:t>
      </w:r>
      <w:r w:rsidR="00077AEA" w:rsidRPr="00F57071">
        <w:rPr>
          <w:szCs w:val="22"/>
        </w:rPr>
        <w:t xml:space="preserve"> and associated report</w:t>
      </w:r>
      <w:r w:rsidR="00F634A1" w:rsidRPr="00F57071">
        <w:rPr>
          <w:szCs w:val="22"/>
        </w:rPr>
        <w:t xml:space="preserve">. </w:t>
      </w:r>
      <w:r w:rsidR="00077AEA" w:rsidRPr="00F57071">
        <w:rPr>
          <w:szCs w:val="22"/>
        </w:rPr>
        <w:t xml:space="preserve">Submissions were called for on </w:t>
      </w:r>
      <w:r w:rsidR="00F57071" w:rsidRPr="00F57071">
        <w:rPr>
          <w:szCs w:val="22"/>
        </w:rPr>
        <w:t xml:space="preserve">25 May 2015 </w:t>
      </w:r>
      <w:r w:rsidRPr="00F57071">
        <w:rPr>
          <w:szCs w:val="22"/>
        </w:rPr>
        <w:t xml:space="preserve">for a </w:t>
      </w:r>
      <w:r w:rsidR="00F57071" w:rsidRPr="00F57071">
        <w:rPr>
          <w:szCs w:val="22"/>
        </w:rPr>
        <w:t>four</w:t>
      </w:r>
      <w:r w:rsidRPr="00F57071">
        <w:rPr>
          <w:szCs w:val="22"/>
        </w:rPr>
        <w:t xml:space="preserve">-week </w:t>
      </w:r>
      <w:r w:rsidR="00F718B7">
        <w:rPr>
          <w:szCs w:val="22"/>
        </w:rPr>
        <w:t xml:space="preserve">public </w:t>
      </w:r>
      <w:r w:rsidRPr="00F57071">
        <w:rPr>
          <w:szCs w:val="22"/>
        </w:rPr>
        <w:t xml:space="preserve">consultation period. </w:t>
      </w:r>
    </w:p>
    <w:p w14:paraId="28C60F78" w14:textId="77777777" w:rsidR="00D06616" w:rsidRPr="00F57071" w:rsidRDefault="00D06616" w:rsidP="00D06616">
      <w:pPr>
        <w:rPr>
          <w:rFonts w:eastAsia="Calibri"/>
          <w:szCs w:val="22"/>
          <w:lang w:val="en-AU" w:bidi="ar-SA"/>
        </w:rPr>
      </w:pPr>
    </w:p>
    <w:p w14:paraId="514C36F9" w14:textId="132F57B1" w:rsidR="00D06616" w:rsidRPr="00F57071" w:rsidRDefault="00D06616" w:rsidP="00D06616">
      <w:pPr>
        <w:widowControl/>
        <w:autoSpaceDE w:val="0"/>
        <w:autoSpaceDN w:val="0"/>
        <w:adjustRightInd w:val="0"/>
        <w:rPr>
          <w:rFonts w:cs="Arial"/>
          <w:szCs w:val="22"/>
        </w:rPr>
      </w:pPr>
      <w:r w:rsidRPr="00F57071">
        <w:rPr>
          <w:rFonts w:eastAsia="Calibri" w:cs="Arial"/>
          <w:bCs/>
          <w:szCs w:val="22"/>
          <w:lang w:val="en-AU" w:bidi="ar-SA"/>
        </w:rPr>
        <w:t>A Reg</w:t>
      </w:r>
      <w:r w:rsidR="00DE5528" w:rsidRPr="00F57071">
        <w:rPr>
          <w:rFonts w:eastAsia="Calibri" w:cs="Arial"/>
          <w:bCs/>
          <w:szCs w:val="22"/>
          <w:lang w:val="en-AU" w:bidi="ar-SA"/>
        </w:rPr>
        <w:t>ulation Impact Statement wa</w:t>
      </w:r>
      <w:r w:rsidRPr="00F57071">
        <w:rPr>
          <w:rFonts w:eastAsia="Calibri" w:cs="Arial"/>
          <w:bCs/>
          <w:szCs w:val="22"/>
          <w:lang w:val="en-AU" w:bidi="ar-SA"/>
        </w:rPr>
        <w:t xml:space="preserve">s not required because the proposed variations to Standard </w:t>
      </w:r>
      <w:r w:rsidR="00F57071" w:rsidRPr="00F57071">
        <w:rPr>
          <w:rFonts w:eastAsia="Calibri" w:cs="Arial"/>
          <w:bCs/>
          <w:szCs w:val="22"/>
          <w:lang w:val="en-AU" w:bidi="ar-SA"/>
        </w:rPr>
        <w:t xml:space="preserve">1.4.2 </w:t>
      </w:r>
      <w:r w:rsidRPr="00F57071">
        <w:t xml:space="preserve">are </w:t>
      </w:r>
      <w:r w:rsidR="003C6E46">
        <w:t xml:space="preserve">minor and do not substantially alter existing arrangements. </w:t>
      </w:r>
    </w:p>
    <w:p w14:paraId="73E5DA20" w14:textId="77777777" w:rsidR="000576EB" w:rsidRDefault="000576EB" w:rsidP="000576EB">
      <w:pPr>
        <w:rPr>
          <w:lang w:val="en-AU" w:eastAsia="en-GB" w:bidi="ar-SA"/>
        </w:rPr>
      </w:pPr>
    </w:p>
    <w:p w14:paraId="445D06C3" w14:textId="77777777" w:rsidR="003C6E46" w:rsidRPr="00D174EE" w:rsidRDefault="003C6E46" w:rsidP="003C6E46">
      <w:pPr>
        <w:widowControl/>
        <w:autoSpaceDE w:val="0"/>
        <w:autoSpaceDN w:val="0"/>
        <w:adjustRightInd w:val="0"/>
        <w:rPr>
          <w:rFonts w:cs="Arial"/>
          <w:b/>
          <w:szCs w:val="22"/>
        </w:rPr>
      </w:pPr>
      <w:r w:rsidRPr="006C2E0A">
        <w:rPr>
          <w:szCs w:val="22"/>
        </w:rPr>
        <w:t>Business compliance costs and other impacts on business, individuals, regulatory agencies and the economy are low or nil. The regulatory proposal does not impose impacts on business, individuals, regulatory agencies or the economy that warrant further analysis. The changes to regulation are machinery in nature involving technical variations to the Standard, which will not have appreciable impacts and are consistent with existing policy.</w:t>
      </w:r>
    </w:p>
    <w:p w14:paraId="6564186A" w14:textId="77777777" w:rsidR="003C6E46" w:rsidRPr="00F57071" w:rsidRDefault="003C6E46" w:rsidP="000576EB">
      <w:pPr>
        <w:rPr>
          <w:lang w:val="en-AU" w:eastAsia="en-GB" w:bidi="ar-SA"/>
        </w:rPr>
      </w:pPr>
    </w:p>
    <w:p w14:paraId="53EDFE80" w14:textId="77777777" w:rsidR="00AA41BA" w:rsidRDefault="00AA41BA" w:rsidP="00AA41B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C495E85" w14:textId="77777777" w:rsidR="00AA41BA" w:rsidRDefault="00AA41BA" w:rsidP="00AA41BA">
      <w:pPr>
        <w:rPr>
          <w:rFonts w:eastAsiaTheme="minorHAnsi"/>
          <w:lang w:val="en-AU" w:bidi="ar-SA"/>
        </w:rPr>
      </w:pPr>
    </w:p>
    <w:p w14:paraId="55BC1558" w14:textId="77777777"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14:paraId="2B8BA291" w14:textId="77777777" w:rsidR="00AA41BA" w:rsidRDefault="00AA41BA" w:rsidP="00AA41BA">
      <w:pPr>
        <w:rPr>
          <w:rFonts w:eastAsiaTheme="minorHAnsi"/>
          <w:lang w:val="en-AU" w:bidi="ar-SA"/>
        </w:rPr>
      </w:pPr>
    </w:p>
    <w:p w14:paraId="26E86719" w14:textId="77777777"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14:paraId="3CC7FC6E" w14:textId="77777777" w:rsidR="00432A42" w:rsidRPr="00432A42" w:rsidRDefault="00432A42" w:rsidP="00432A42">
      <w:pPr>
        <w:rPr>
          <w:b/>
        </w:rPr>
      </w:pPr>
    </w:p>
    <w:p w14:paraId="0EF5C171" w14:textId="77777777" w:rsidR="000C0E54" w:rsidRPr="00DE5528" w:rsidRDefault="000C0E54" w:rsidP="000C0E54">
      <w:r w:rsidRPr="001C2F6A">
        <w:t xml:space="preserve">Item 1 </w:t>
      </w:r>
      <w:r>
        <w:t xml:space="preserve">inserts new entries for the chemicals listed. The entries include the chemical name, residue definition, foods and associated MRLs. This item incorporates the new entries in alphabetical order among the chemicals listed in the Schedule. </w:t>
      </w:r>
    </w:p>
    <w:bookmarkEnd w:id="111"/>
    <w:bookmarkEnd w:id="112"/>
    <w:p w14:paraId="240C1AD9" w14:textId="77777777" w:rsidR="007D0189" w:rsidRDefault="007D0189" w:rsidP="000576EB">
      <w:pPr>
        <w:rPr>
          <w:lang w:val="en-AU" w:eastAsia="en-GB" w:bidi="ar-SA"/>
        </w:rPr>
      </w:pPr>
    </w:p>
    <w:sectPr w:rsidR="007D0189" w:rsidSect="004A4DC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312E1" w14:textId="77777777" w:rsidR="00F6007B" w:rsidRDefault="00F6007B">
      <w:r>
        <w:separator/>
      </w:r>
    </w:p>
  </w:endnote>
  <w:endnote w:type="continuationSeparator" w:id="0">
    <w:p w14:paraId="20795124" w14:textId="77777777" w:rsidR="00F6007B" w:rsidRDefault="00F6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0EAC" w14:textId="77777777" w:rsidR="00F6007B" w:rsidRDefault="00F6007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25C2E9" w14:textId="77777777" w:rsidR="00F6007B" w:rsidRDefault="00F60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72E78AC" w14:textId="77777777" w:rsidR="00F6007B" w:rsidRDefault="00F6007B" w:rsidP="00A671E6">
        <w:pPr>
          <w:pStyle w:val="Footer"/>
          <w:jc w:val="center"/>
        </w:pPr>
        <w:r>
          <w:fldChar w:fldCharType="begin"/>
        </w:r>
        <w:r>
          <w:instrText xml:space="preserve"> PAGE   \* MERGEFORMAT </w:instrText>
        </w:r>
        <w:r>
          <w:fldChar w:fldCharType="separate"/>
        </w:r>
        <w:r w:rsidR="004517C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DDFCF" w14:textId="77777777" w:rsidR="00F6007B" w:rsidRDefault="00F6007B">
      <w:r>
        <w:separator/>
      </w:r>
    </w:p>
  </w:footnote>
  <w:footnote w:type="continuationSeparator" w:id="0">
    <w:p w14:paraId="5F1AD5FB" w14:textId="77777777" w:rsidR="00F6007B" w:rsidRDefault="00F6007B">
      <w:r>
        <w:continuationSeparator/>
      </w:r>
    </w:p>
  </w:footnote>
  <w:footnote w:id="1">
    <w:p w14:paraId="38B8F189" w14:textId="77777777" w:rsidR="00F6007B" w:rsidRPr="0010778D" w:rsidRDefault="00F6007B"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157330E7" w14:textId="35CA5EFD" w:rsidR="00F6007B" w:rsidRPr="002E22D5" w:rsidRDefault="00F6007B" w:rsidP="00EA2185">
      <w:pPr>
        <w:pStyle w:val="FootnoteText"/>
        <w:rPr>
          <w:sz w:val="18"/>
          <w:szCs w:val="18"/>
          <w:lang w:val="en-AU"/>
        </w:rPr>
      </w:pPr>
      <w:r w:rsidRPr="002E22D5">
        <w:rPr>
          <w:rStyle w:val="FootnoteReference"/>
          <w:sz w:val="18"/>
          <w:szCs w:val="18"/>
        </w:rPr>
        <w:footnoteRef/>
      </w:r>
      <w:r w:rsidRPr="002E22D5">
        <w:rPr>
          <w:sz w:val="18"/>
          <w:szCs w:val="18"/>
        </w:rPr>
        <w:t xml:space="preserve"> The Agricultural and Veterinary Chemicals Code Instrument 4 (MRL Standard) sets MRLs for agvet chemicals in agricultural produce, particularly produce entering the food chain. This can be accessed via the APVMA website at </w:t>
      </w:r>
      <w:hyperlink r:id="rId1" w:history="1">
        <w:r w:rsidRPr="002E22D5">
          <w:rPr>
            <w:rStyle w:val="Hyperlink"/>
            <w:sz w:val="18"/>
            <w:szCs w:val="18"/>
          </w:rPr>
          <w:t>http://apvma.gov.au/node/10806</w:t>
        </w:r>
      </w:hyperlink>
      <w:r w:rsidRPr="002E22D5">
        <w:rPr>
          <w:sz w:val="18"/>
          <w:szCs w:val="18"/>
        </w:rPr>
        <w:t>.</w:t>
      </w:r>
    </w:p>
  </w:footnote>
  <w:footnote w:id="3">
    <w:p w14:paraId="3EA1FBF1" w14:textId="77777777" w:rsidR="00F6007B" w:rsidRPr="00D377CA" w:rsidRDefault="00F6007B" w:rsidP="00131DAD">
      <w:pPr>
        <w:pStyle w:val="FootnoteText"/>
        <w:rPr>
          <w:sz w:val="18"/>
          <w:lang w:val="en-AU"/>
        </w:rPr>
      </w:pPr>
      <w:r w:rsidRPr="002E22D5">
        <w:rPr>
          <w:rStyle w:val="FootnoteReference"/>
          <w:sz w:val="18"/>
          <w:szCs w:val="18"/>
        </w:rPr>
        <w:footnoteRef/>
      </w:r>
      <w:r w:rsidRPr="002E22D5">
        <w:rPr>
          <w:sz w:val="18"/>
          <w:szCs w:val="18"/>
        </w:rPr>
        <w:t xml:space="preserve"> </w:t>
      </w:r>
      <w:r w:rsidRPr="002E22D5">
        <w:rPr>
          <w:sz w:val="18"/>
          <w:szCs w:val="18"/>
          <w:lang w:val="en-AU"/>
        </w:rPr>
        <w:t>An asterisk indicates that the limit is at or about the limit of analytical quantification.</w:t>
      </w:r>
      <w:r w:rsidRPr="00D377CA">
        <w:rPr>
          <w:sz w:val="18"/>
          <w:lang w:val="en-AU"/>
        </w:rPr>
        <w:t xml:space="preserve"> </w:t>
      </w:r>
    </w:p>
  </w:footnote>
  <w:footnote w:id="4">
    <w:p w14:paraId="208FD81C" w14:textId="77777777" w:rsidR="00750723" w:rsidRPr="002E22D5" w:rsidRDefault="00750723" w:rsidP="00750723">
      <w:pPr>
        <w:pStyle w:val="FootnoteText"/>
        <w:rPr>
          <w:sz w:val="18"/>
          <w:szCs w:val="18"/>
          <w:lang w:val="en-AU"/>
        </w:rPr>
      </w:pPr>
      <w:r w:rsidRPr="002E22D5">
        <w:rPr>
          <w:rStyle w:val="FootnoteReference"/>
          <w:sz w:val="18"/>
          <w:szCs w:val="18"/>
        </w:rPr>
        <w:footnoteRef/>
      </w:r>
      <w:r w:rsidRPr="002E22D5">
        <w:rPr>
          <w:sz w:val="18"/>
          <w:szCs w:val="18"/>
        </w:rPr>
        <w:t xml:space="preserve"> </w:t>
      </w:r>
      <w:r w:rsidRPr="002E22D5">
        <w:rPr>
          <w:sz w:val="18"/>
          <w:szCs w:val="18"/>
          <w:lang w:val="en-AU"/>
        </w:rPr>
        <w:t xml:space="preserve">Details on this proposal are on the FSANZ website here: </w:t>
      </w:r>
      <w:hyperlink r:id="rId2" w:history="1">
        <w:r w:rsidRPr="002E22D5">
          <w:rPr>
            <w:rStyle w:val="Hyperlink"/>
            <w:sz w:val="18"/>
            <w:szCs w:val="18"/>
            <w:lang w:val="en-AU"/>
          </w:rPr>
          <w:t>http://www.foodstandards.gov.au/code/proposals/Pages/P1027.aspx</w:t>
        </w:r>
      </w:hyperlink>
    </w:p>
  </w:footnote>
  <w:footnote w:id="5">
    <w:p w14:paraId="18BEFE6C" w14:textId="4A28CDDA" w:rsidR="00F6007B" w:rsidRPr="000F6CDF" w:rsidRDefault="00F6007B">
      <w:pPr>
        <w:pStyle w:val="FootnoteText"/>
        <w:rPr>
          <w:sz w:val="18"/>
          <w:szCs w:val="18"/>
          <w:lang w:val="en-AU"/>
        </w:rPr>
      </w:pPr>
      <w:r w:rsidRPr="000F6CDF">
        <w:rPr>
          <w:rStyle w:val="FootnoteReference"/>
          <w:sz w:val="18"/>
          <w:szCs w:val="18"/>
        </w:rPr>
        <w:footnoteRef/>
      </w:r>
      <w:r w:rsidRPr="000F6CDF">
        <w:rPr>
          <w:sz w:val="18"/>
          <w:szCs w:val="18"/>
        </w:rPr>
        <w:t xml:space="preserve"> </w:t>
      </w:r>
      <w:r w:rsidRPr="000F6CDF">
        <w:rPr>
          <w:sz w:val="18"/>
          <w:szCs w:val="18"/>
          <w:lang w:val="en-AU"/>
        </w:rPr>
        <w:t>This submission does not represent a whole of Queensland Government position.</w:t>
      </w:r>
    </w:p>
  </w:footnote>
  <w:footnote w:id="6">
    <w:p w14:paraId="55EC50B6" w14:textId="3BB7DC17" w:rsidR="00F6007B" w:rsidRPr="002E22D5" w:rsidRDefault="00F6007B">
      <w:pPr>
        <w:pStyle w:val="FootnoteText"/>
        <w:rPr>
          <w:sz w:val="18"/>
          <w:szCs w:val="18"/>
          <w:lang w:val="en-AU"/>
        </w:rPr>
      </w:pPr>
      <w:r w:rsidRPr="002E22D5">
        <w:rPr>
          <w:rStyle w:val="FootnoteReference"/>
          <w:sz w:val="18"/>
          <w:szCs w:val="18"/>
        </w:rPr>
        <w:footnoteRef/>
      </w:r>
      <w:r w:rsidRPr="002E22D5">
        <w:rPr>
          <w:sz w:val="18"/>
          <w:szCs w:val="18"/>
        </w:rPr>
        <w:t xml:space="preserve"> </w:t>
      </w:r>
      <w:r w:rsidRPr="002E22D5">
        <w:rPr>
          <w:sz w:val="18"/>
          <w:szCs w:val="18"/>
          <w:lang w:val="en-AU"/>
        </w:rPr>
        <w:t xml:space="preserve">FAO/WHO (2009) </w:t>
      </w:r>
      <w:r w:rsidRPr="002E22D5">
        <w:rPr>
          <w:i/>
          <w:sz w:val="18"/>
          <w:szCs w:val="18"/>
          <w:lang w:val="en-AU"/>
        </w:rPr>
        <w:t>Environmental Health Criteria 240: Principles and Methods for the Risk Assessment of Chemicals in Food</w:t>
      </w:r>
      <w:r w:rsidRPr="002E22D5">
        <w:rPr>
          <w:sz w:val="18"/>
          <w:szCs w:val="18"/>
          <w:lang w:val="en-AU"/>
        </w:rPr>
        <w:t>. World Health Organization.</w:t>
      </w:r>
    </w:p>
  </w:footnote>
  <w:footnote w:id="7">
    <w:p w14:paraId="190A1609" w14:textId="60E21F67" w:rsidR="00F6007B" w:rsidRPr="000F6CDF" w:rsidRDefault="00F6007B">
      <w:pPr>
        <w:pStyle w:val="FootnoteText"/>
        <w:rPr>
          <w:lang w:val="en-AU"/>
        </w:rPr>
      </w:pPr>
      <w:r w:rsidRPr="002E22D5">
        <w:rPr>
          <w:rStyle w:val="FootnoteReference"/>
          <w:sz w:val="18"/>
          <w:szCs w:val="18"/>
        </w:rPr>
        <w:footnoteRef/>
      </w:r>
      <w:r w:rsidRPr="002E22D5">
        <w:rPr>
          <w:sz w:val="18"/>
          <w:szCs w:val="18"/>
        </w:rPr>
        <w:t xml:space="preserve"> FSANZ (2009) </w:t>
      </w:r>
      <w:r w:rsidRPr="002E22D5">
        <w:rPr>
          <w:rFonts w:cs="Arial"/>
          <w:i/>
          <w:sz w:val="18"/>
          <w:szCs w:val="18"/>
        </w:rPr>
        <w:t>Principles and Practice of Dietary Exposure Assessment for Food Regulatory Purposes</w:t>
      </w:r>
      <w:r w:rsidRPr="002E22D5">
        <w:rPr>
          <w:rFonts w:cs="Arial"/>
          <w:sz w:val="18"/>
          <w:szCs w:val="18"/>
        </w:rPr>
        <w:t xml:space="preserve">, </w:t>
      </w:r>
      <w:hyperlink r:id="rId3" w:history="1">
        <w:r w:rsidRPr="002E22D5">
          <w:rPr>
            <w:rStyle w:val="Hyperlink"/>
            <w:rFonts w:cs="Arial"/>
            <w:sz w:val="18"/>
            <w:szCs w:val="18"/>
          </w:rPr>
          <w:t>http://www.foodstandards.gov.au/science/exposure/Documents/Principles%20_%20practices%20exposure%20assessment%202009.pdf</w:t>
        </w:r>
      </w:hyperlink>
    </w:p>
  </w:footnote>
  <w:footnote w:id="8">
    <w:p w14:paraId="1864AEA4" w14:textId="77777777" w:rsidR="00F6007B" w:rsidRPr="009E176D" w:rsidRDefault="00F6007B" w:rsidP="00657640">
      <w:pPr>
        <w:pStyle w:val="FootnoteText"/>
        <w:rPr>
          <w:sz w:val="18"/>
          <w:lang w:val="en-AU"/>
        </w:rPr>
      </w:pPr>
      <w:r w:rsidRPr="009E176D">
        <w:rPr>
          <w:rStyle w:val="FootnoteReference"/>
          <w:sz w:val="18"/>
        </w:rPr>
        <w:footnoteRef/>
      </w:r>
      <w:r w:rsidRPr="009E176D">
        <w:rPr>
          <w:sz w:val="18"/>
        </w:rPr>
        <w:t xml:space="preserve"> C</w:t>
      </w:r>
      <w:r w:rsidRPr="009E176D">
        <w:rPr>
          <w:sz w:val="18"/>
          <w:lang w:val="en-AU"/>
        </w:rPr>
        <w:t>oumatetralyl – TDI: 0.000003 mg/kg bw/day</w:t>
      </w:r>
    </w:p>
  </w:footnote>
  <w:footnote w:id="9">
    <w:p w14:paraId="698C95DA" w14:textId="77777777" w:rsidR="00F6007B" w:rsidRPr="009E176D" w:rsidRDefault="00F6007B" w:rsidP="00657640">
      <w:pPr>
        <w:pStyle w:val="FootnoteText"/>
        <w:rPr>
          <w:sz w:val="18"/>
          <w:lang w:val="en-AU"/>
        </w:rPr>
      </w:pPr>
      <w:r w:rsidRPr="009E176D">
        <w:rPr>
          <w:rStyle w:val="FootnoteReference"/>
          <w:sz w:val="18"/>
        </w:rPr>
        <w:footnoteRef/>
      </w:r>
      <w:r w:rsidRPr="009E176D">
        <w:rPr>
          <w:sz w:val="18"/>
        </w:rPr>
        <w:t xml:space="preserve"> </w:t>
      </w:r>
      <w:r w:rsidRPr="009E176D">
        <w:rPr>
          <w:sz w:val="18"/>
          <w:lang w:val="en-AU"/>
        </w:rPr>
        <w:t>Warfarin – TDI: 0.0003 mg/kg bw/day</w:t>
      </w:r>
    </w:p>
  </w:footnote>
  <w:footnote w:id="10">
    <w:p w14:paraId="72659CB4" w14:textId="1DF0B7DD" w:rsidR="00F6007B" w:rsidRPr="002E22D5" w:rsidRDefault="00F6007B">
      <w:pPr>
        <w:pStyle w:val="FootnoteText"/>
        <w:rPr>
          <w:sz w:val="18"/>
          <w:szCs w:val="18"/>
          <w:lang w:val="en-AU"/>
        </w:rPr>
      </w:pPr>
      <w:r w:rsidRPr="002E22D5">
        <w:rPr>
          <w:rStyle w:val="FootnoteReference"/>
          <w:sz w:val="18"/>
          <w:szCs w:val="18"/>
        </w:rPr>
        <w:footnoteRef/>
      </w:r>
      <w:r w:rsidRPr="002E22D5">
        <w:rPr>
          <w:sz w:val="18"/>
          <w:szCs w:val="18"/>
        </w:rPr>
        <w:t xml:space="preserve"> </w:t>
      </w:r>
      <w:r w:rsidRPr="002E22D5">
        <w:rPr>
          <w:sz w:val="18"/>
          <w:szCs w:val="18"/>
          <w:lang w:val="en-AU"/>
        </w:rPr>
        <w:t xml:space="preserve">SD1 has been slightly amended since the Call for Submission report, to provide further detail regarding the </w:t>
      </w:r>
      <w:r w:rsidRPr="00D50421">
        <w:rPr>
          <w:sz w:val="18"/>
          <w:szCs w:val="18"/>
          <w:lang w:val="en-AU"/>
        </w:rPr>
        <w:t xml:space="preserve">acronyms (NEDI and NESTI). Also the dietary exposure estimate differs slightly from the estimate provided in the M1012 Call for Submissions SD1. </w:t>
      </w:r>
      <w:r w:rsidRPr="00D50421">
        <w:rPr>
          <w:sz w:val="18"/>
          <w:szCs w:val="18"/>
        </w:rPr>
        <w:t>The previous estimate was derived using FSANZ’s standard deterministic MRL methodology based on summary 1995 NNS raw commodity consumption data. The updated estimate was derived from Harvest, which is based on individual dietary records</w:t>
      </w:r>
      <w:r>
        <w:rPr>
          <w:szCs w:val="18"/>
        </w:rPr>
        <w:t>.</w:t>
      </w:r>
    </w:p>
  </w:footnote>
  <w:footnote w:id="11">
    <w:p w14:paraId="2A16F175" w14:textId="77777777" w:rsidR="00F6007B" w:rsidRPr="008828D9" w:rsidRDefault="00F6007B"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2">
    <w:p w14:paraId="40D6C934" w14:textId="77777777" w:rsidR="00F6007B" w:rsidRPr="0010778D" w:rsidRDefault="00F6007B"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C351" w14:textId="77777777" w:rsidR="00F6007B" w:rsidRDefault="00F6007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F5E4D"/>
    <w:multiLevelType w:val="multilevel"/>
    <w:tmpl w:val="DF904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388E"/>
    <w:rsid w:val="0000469B"/>
    <w:rsid w:val="00007C40"/>
    <w:rsid w:val="00010E79"/>
    <w:rsid w:val="00011187"/>
    <w:rsid w:val="00014E34"/>
    <w:rsid w:val="000248F8"/>
    <w:rsid w:val="000250DB"/>
    <w:rsid w:val="000332AE"/>
    <w:rsid w:val="00035FF3"/>
    <w:rsid w:val="000418F0"/>
    <w:rsid w:val="00047155"/>
    <w:rsid w:val="00050263"/>
    <w:rsid w:val="00051021"/>
    <w:rsid w:val="000524F0"/>
    <w:rsid w:val="00052D54"/>
    <w:rsid w:val="000576EB"/>
    <w:rsid w:val="00064B2D"/>
    <w:rsid w:val="00065F1F"/>
    <w:rsid w:val="00075A9F"/>
    <w:rsid w:val="00076D33"/>
    <w:rsid w:val="00076D3B"/>
    <w:rsid w:val="00077859"/>
    <w:rsid w:val="00077AEA"/>
    <w:rsid w:val="00081B0A"/>
    <w:rsid w:val="000A0E8D"/>
    <w:rsid w:val="000A351A"/>
    <w:rsid w:val="000A3D8B"/>
    <w:rsid w:val="000A4704"/>
    <w:rsid w:val="000B427A"/>
    <w:rsid w:val="000B47E3"/>
    <w:rsid w:val="000B61D2"/>
    <w:rsid w:val="000B6AF2"/>
    <w:rsid w:val="000C06CC"/>
    <w:rsid w:val="000C0E54"/>
    <w:rsid w:val="000D6A37"/>
    <w:rsid w:val="000D6FD4"/>
    <w:rsid w:val="000D7B1C"/>
    <w:rsid w:val="000E0AE4"/>
    <w:rsid w:val="000E1EA4"/>
    <w:rsid w:val="000E3DBC"/>
    <w:rsid w:val="000E662F"/>
    <w:rsid w:val="000F241E"/>
    <w:rsid w:val="000F3CFE"/>
    <w:rsid w:val="000F6568"/>
    <w:rsid w:val="000F6CDF"/>
    <w:rsid w:val="00102272"/>
    <w:rsid w:val="00102819"/>
    <w:rsid w:val="00104544"/>
    <w:rsid w:val="0010778D"/>
    <w:rsid w:val="001122EC"/>
    <w:rsid w:val="00114A10"/>
    <w:rsid w:val="0012388D"/>
    <w:rsid w:val="00131DAD"/>
    <w:rsid w:val="00136B57"/>
    <w:rsid w:val="00150B54"/>
    <w:rsid w:val="00151323"/>
    <w:rsid w:val="0015187A"/>
    <w:rsid w:val="00175E00"/>
    <w:rsid w:val="00182C4C"/>
    <w:rsid w:val="001878C5"/>
    <w:rsid w:val="0019399D"/>
    <w:rsid w:val="00197D8D"/>
    <w:rsid w:val="001A068B"/>
    <w:rsid w:val="001A1A75"/>
    <w:rsid w:val="001A7E9A"/>
    <w:rsid w:val="001C2199"/>
    <w:rsid w:val="001C27A3"/>
    <w:rsid w:val="001D43F6"/>
    <w:rsid w:val="001E09FA"/>
    <w:rsid w:val="001E3959"/>
    <w:rsid w:val="001F0941"/>
    <w:rsid w:val="001F551A"/>
    <w:rsid w:val="001F792B"/>
    <w:rsid w:val="00202A6F"/>
    <w:rsid w:val="00206476"/>
    <w:rsid w:val="0022197C"/>
    <w:rsid w:val="00221D07"/>
    <w:rsid w:val="00224991"/>
    <w:rsid w:val="00224E3B"/>
    <w:rsid w:val="00227E4A"/>
    <w:rsid w:val="00231771"/>
    <w:rsid w:val="00240686"/>
    <w:rsid w:val="002421C1"/>
    <w:rsid w:val="00250197"/>
    <w:rsid w:val="00250896"/>
    <w:rsid w:val="00250DF2"/>
    <w:rsid w:val="002534C7"/>
    <w:rsid w:val="002544C3"/>
    <w:rsid w:val="00263FC9"/>
    <w:rsid w:val="00265692"/>
    <w:rsid w:val="002758A0"/>
    <w:rsid w:val="0028267C"/>
    <w:rsid w:val="0029204E"/>
    <w:rsid w:val="002933E6"/>
    <w:rsid w:val="00295FCA"/>
    <w:rsid w:val="002A0194"/>
    <w:rsid w:val="002A5F8B"/>
    <w:rsid w:val="002A7E1A"/>
    <w:rsid w:val="002A7F6C"/>
    <w:rsid w:val="002B0071"/>
    <w:rsid w:val="002B54AD"/>
    <w:rsid w:val="002C1A3B"/>
    <w:rsid w:val="002E16D5"/>
    <w:rsid w:val="002E1820"/>
    <w:rsid w:val="002E22D5"/>
    <w:rsid w:val="002F35EA"/>
    <w:rsid w:val="002F6488"/>
    <w:rsid w:val="00305C54"/>
    <w:rsid w:val="00307079"/>
    <w:rsid w:val="00307430"/>
    <w:rsid w:val="0031016C"/>
    <w:rsid w:val="00312B72"/>
    <w:rsid w:val="00312E6E"/>
    <w:rsid w:val="0031426B"/>
    <w:rsid w:val="003213F9"/>
    <w:rsid w:val="00323AB6"/>
    <w:rsid w:val="00323DBF"/>
    <w:rsid w:val="003273A5"/>
    <w:rsid w:val="00327867"/>
    <w:rsid w:val="00332B12"/>
    <w:rsid w:val="00337CBC"/>
    <w:rsid w:val="00341E52"/>
    <w:rsid w:val="003428FC"/>
    <w:rsid w:val="00345C7A"/>
    <w:rsid w:val="003507DB"/>
    <w:rsid w:val="00351B07"/>
    <w:rsid w:val="003552E3"/>
    <w:rsid w:val="00360CA7"/>
    <w:rsid w:val="0036533D"/>
    <w:rsid w:val="00367FCB"/>
    <w:rsid w:val="00371B29"/>
    <w:rsid w:val="003766F8"/>
    <w:rsid w:val="00380106"/>
    <w:rsid w:val="003805F7"/>
    <w:rsid w:val="003814F0"/>
    <w:rsid w:val="00381E07"/>
    <w:rsid w:val="00385788"/>
    <w:rsid w:val="00391769"/>
    <w:rsid w:val="00394B49"/>
    <w:rsid w:val="00394F2B"/>
    <w:rsid w:val="003953E1"/>
    <w:rsid w:val="003956B3"/>
    <w:rsid w:val="003A0A4D"/>
    <w:rsid w:val="003A3D30"/>
    <w:rsid w:val="003A68BE"/>
    <w:rsid w:val="003A7B84"/>
    <w:rsid w:val="003B0CAB"/>
    <w:rsid w:val="003B0CCE"/>
    <w:rsid w:val="003C4969"/>
    <w:rsid w:val="003C6E46"/>
    <w:rsid w:val="003C6ECA"/>
    <w:rsid w:val="003D2CDC"/>
    <w:rsid w:val="003E41D5"/>
    <w:rsid w:val="003E46BA"/>
    <w:rsid w:val="003E53EE"/>
    <w:rsid w:val="003F00E2"/>
    <w:rsid w:val="003F40C2"/>
    <w:rsid w:val="003F74C1"/>
    <w:rsid w:val="00401ADE"/>
    <w:rsid w:val="00404B78"/>
    <w:rsid w:val="00405B1A"/>
    <w:rsid w:val="00410C76"/>
    <w:rsid w:val="00411907"/>
    <w:rsid w:val="00416562"/>
    <w:rsid w:val="00417EE3"/>
    <w:rsid w:val="004207EB"/>
    <w:rsid w:val="00421730"/>
    <w:rsid w:val="00422EC9"/>
    <w:rsid w:val="00423AC7"/>
    <w:rsid w:val="00424E2A"/>
    <w:rsid w:val="00432A42"/>
    <w:rsid w:val="0043462F"/>
    <w:rsid w:val="00437276"/>
    <w:rsid w:val="004517CD"/>
    <w:rsid w:val="004519BE"/>
    <w:rsid w:val="00453646"/>
    <w:rsid w:val="00456B54"/>
    <w:rsid w:val="00456BD5"/>
    <w:rsid w:val="00457111"/>
    <w:rsid w:val="00464643"/>
    <w:rsid w:val="00465D0A"/>
    <w:rsid w:val="0046748D"/>
    <w:rsid w:val="00475FC4"/>
    <w:rsid w:val="00480F34"/>
    <w:rsid w:val="00486793"/>
    <w:rsid w:val="00486C66"/>
    <w:rsid w:val="00493268"/>
    <w:rsid w:val="00494A3F"/>
    <w:rsid w:val="004A2037"/>
    <w:rsid w:val="004A4DC2"/>
    <w:rsid w:val="004A793C"/>
    <w:rsid w:val="004B009E"/>
    <w:rsid w:val="004B047B"/>
    <w:rsid w:val="004B0AD6"/>
    <w:rsid w:val="004B272E"/>
    <w:rsid w:val="004B4CDC"/>
    <w:rsid w:val="004B5F77"/>
    <w:rsid w:val="004C24AD"/>
    <w:rsid w:val="004D0516"/>
    <w:rsid w:val="004D121E"/>
    <w:rsid w:val="004D1B1C"/>
    <w:rsid w:val="004E41A3"/>
    <w:rsid w:val="004F048E"/>
    <w:rsid w:val="004F37DC"/>
    <w:rsid w:val="004F4F98"/>
    <w:rsid w:val="004F69F6"/>
    <w:rsid w:val="004F79AC"/>
    <w:rsid w:val="00506E9B"/>
    <w:rsid w:val="005207D8"/>
    <w:rsid w:val="00523930"/>
    <w:rsid w:val="005244F1"/>
    <w:rsid w:val="005346B7"/>
    <w:rsid w:val="00537CDC"/>
    <w:rsid w:val="0055032E"/>
    <w:rsid w:val="00556EEF"/>
    <w:rsid w:val="00557DA7"/>
    <w:rsid w:val="00560185"/>
    <w:rsid w:val="00562917"/>
    <w:rsid w:val="00571B8C"/>
    <w:rsid w:val="00574C64"/>
    <w:rsid w:val="005811B7"/>
    <w:rsid w:val="005838B6"/>
    <w:rsid w:val="00586228"/>
    <w:rsid w:val="005946D3"/>
    <w:rsid w:val="005A572E"/>
    <w:rsid w:val="005B6AF4"/>
    <w:rsid w:val="005C04CB"/>
    <w:rsid w:val="005C2256"/>
    <w:rsid w:val="005D16AD"/>
    <w:rsid w:val="005D2016"/>
    <w:rsid w:val="005D72E1"/>
    <w:rsid w:val="005E58D3"/>
    <w:rsid w:val="005E6E16"/>
    <w:rsid w:val="005F400E"/>
    <w:rsid w:val="005F5093"/>
    <w:rsid w:val="005F6003"/>
    <w:rsid w:val="005F61BE"/>
    <w:rsid w:val="005F7342"/>
    <w:rsid w:val="0060295B"/>
    <w:rsid w:val="00603C65"/>
    <w:rsid w:val="00610A3C"/>
    <w:rsid w:val="00612D6E"/>
    <w:rsid w:val="006138D7"/>
    <w:rsid w:val="00615E83"/>
    <w:rsid w:val="00616017"/>
    <w:rsid w:val="006206EC"/>
    <w:rsid w:val="00627F48"/>
    <w:rsid w:val="0063455F"/>
    <w:rsid w:val="00635814"/>
    <w:rsid w:val="00640DA4"/>
    <w:rsid w:val="0064213B"/>
    <w:rsid w:val="00643EE0"/>
    <w:rsid w:val="00657640"/>
    <w:rsid w:val="00663FCF"/>
    <w:rsid w:val="006652A2"/>
    <w:rsid w:val="00676EA4"/>
    <w:rsid w:val="00683071"/>
    <w:rsid w:val="006843BB"/>
    <w:rsid w:val="006851A0"/>
    <w:rsid w:val="00692490"/>
    <w:rsid w:val="006969CC"/>
    <w:rsid w:val="00696A15"/>
    <w:rsid w:val="006A48A7"/>
    <w:rsid w:val="006A5D40"/>
    <w:rsid w:val="006B045E"/>
    <w:rsid w:val="006B7E88"/>
    <w:rsid w:val="006C21F3"/>
    <w:rsid w:val="006C22A7"/>
    <w:rsid w:val="006C5CF5"/>
    <w:rsid w:val="006D33FF"/>
    <w:rsid w:val="006E10A1"/>
    <w:rsid w:val="006E278E"/>
    <w:rsid w:val="006E74BC"/>
    <w:rsid w:val="006F0CB3"/>
    <w:rsid w:val="006F4A82"/>
    <w:rsid w:val="006F7674"/>
    <w:rsid w:val="00710C37"/>
    <w:rsid w:val="00724FA4"/>
    <w:rsid w:val="00730800"/>
    <w:rsid w:val="0073417E"/>
    <w:rsid w:val="00750723"/>
    <w:rsid w:val="007555EC"/>
    <w:rsid w:val="00755F02"/>
    <w:rsid w:val="007602AA"/>
    <w:rsid w:val="007612A5"/>
    <w:rsid w:val="007652EF"/>
    <w:rsid w:val="00765DE1"/>
    <w:rsid w:val="00772BDC"/>
    <w:rsid w:val="00777437"/>
    <w:rsid w:val="00780792"/>
    <w:rsid w:val="0078309E"/>
    <w:rsid w:val="00795D86"/>
    <w:rsid w:val="007A3E6E"/>
    <w:rsid w:val="007A44B4"/>
    <w:rsid w:val="007A53BF"/>
    <w:rsid w:val="007A7D3D"/>
    <w:rsid w:val="007B225D"/>
    <w:rsid w:val="007B37B3"/>
    <w:rsid w:val="007B5561"/>
    <w:rsid w:val="007C1C64"/>
    <w:rsid w:val="007C22CB"/>
    <w:rsid w:val="007C532D"/>
    <w:rsid w:val="007D0189"/>
    <w:rsid w:val="007D382D"/>
    <w:rsid w:val="007D669D"/>
    <w:rsid w:val="007E41A1"/>
    <w:rsid w:val="007E48BC"/>
    <w:rsid w:val="007E79F7"/>
    <w:rsid w:val="007F3630"/>
    <w:rsid w:val="007F7BF7"/>
    <w:rsid w:val="00807559"/>
    <w:rsid w:val="00813464"/>
    <w:rsid w:val="0081714C"/>
    <w:rsid w:val="00822657"/>
    <w:rsid w:val="00831154"/>
    <w:rsid w:val="00843385"/>
    <w:rsid w:val="008450BC"/>
    <w:rsid w:val="00847066"/>
    <w:rsid w:val="00850B09"/>
    <w:rsid w:val="008518AE"/>
    <w:rsid w:val="0085334B"/>
    <w:rsid w:val="008537BA"/>
    <w:rsid w:val="00860808"/>
    <w:rsid w:val="00861C13"/>
    <w:rsid w:val="00862349"/>
    <w:rsid w:val="0086571E"/>
    <w:rsid w:val="00870214"/>
    <w:rsid w:val="00871116"/>
    <w:rsid w:val="00871207"/>
    <w:rsid w:val="00872007"/>
    <w:rsid w:val="00881CA1"/>
    <w:rsid w:val="00885C51"/>
    <w:rsid w:val="008965DE"/>
    <w:rsid w:val="00896B85"/>
    <w:rsid w:val="008A243D"/>
    <w:rsid w:val="008A474B"/>
    <w:rsid w:val="008D06C6"/>
    <w:rsid w:val="008D553A"/>
    <w:rsid w:val="008D5E9D"/>
    <w:rsid w:val="008E6250"/>
    <w:rsid w:val="008E7292"/>
    <w:rsid w:val="008F6BA1"/>
    <w:rsid w:val="00920249"/>
    <w:rsid w:val="00932F14"/>
    <w:rsid w:val="009379E4"/>
    <w:rsid w:val="0094247F"/>
    <w:rsid w:val="00942B08"/>
    <w:rsid w:val="00942D60"/>
    <w:rsid w:val="009460FA"/>
    <w:rsid w:val="00947534"/>
    <w:rsid w:val="009478A1"/>
    <w:rsid w:val="00956617"/>
    <w:rsid w:val="0096523B"/>
    <w:rsid w:val="00972D06"/>
    <w:rsid w:val="00980770"/>
    <w:rsid w:val="009823DA"/>
    <w:rsid w:val="00992949"/>
    <w:rsid w:val="0099323D"/>
    <w:rsid w:val="0099623A"/>
    <w:rsid w:val="009A2699"/>
    <w:rsid w:val="009A2DC9"/>
    <w:rsid w:val="009A391C"/>
    <w:rsid w:val="009A6D87"/>
    <w:rsid w:val="009B67B3"/>
    <w:rsid w:val="009B7EF0"/>
    <w:rsid w:val="009C14F3"/>
    <w:rsid w:val="009C6632"/>
    <w:rsid w:val="009E0A61"/>
    <w:rsid w:val="009E3010"/>
    <w:rsid w:val="009E46F5"/>
    <w:rsid w:val="009F3E88"/>
    <w:rsid w:val="009F518F"/>
    <w:rsid w:val="009F7065"/>
    <w:rsid w:val="00A0137B"/>
    <w:rsid w:val="00A02AF3"/>
    <w:rsid w:val="00A074F4"/>
    <w:rsid w:val="00A12582"/>
    <w:rsid w:val="00A15E68"/>
    <w:rsid w:val="00A2449C"/>
    <w:rsid w:val="00A318EB"/>
    <w:rsid w:val="00A43978"/>
    <w:rsid w:val="00A52C46"/>
    <w:rsid w:val="00A551B9"/>
    <w:rsid w:val="00A56DC7"/>
    <w:rsid w:val="00A66FDD"/>
    <w:rsid w:val="00A671E6"/>
    <w:rsid w:val="00A709E5"/>
    <w:rsid w:val="00A74FD1"/>
    <w:rsid w:val="00A80C80"/>
    <w:rsid w:val="00A82F70"/>
    <w:rsid w:val="00A84A58"/>
    <w:rsid w:val="00A85C44"/>
    <w:rsid w:val="00A915F4"/>
    <w:rsid w:val="00A929A9"/>
    <w:rsid w:val="00A96594"/>
    <w:rsid w:val="00AA02A3"/>
    <w:rsid w:val="00AA3C61"/>
    <w:rsid w:val="00AA41BA"/>
    <w:rsid w:val="00AA6D0D"/>
    <w:rsid w:val="00AA6FA3"/>
    <w:rsid w:val="00AB21D8"/>
    <w:rsid w:val="00AC1BD8"/>
    <w:rsid w:val="00AC428E"/>
    <w:rsid w:val="00AD344F"/>
    <w:rsid w:val="00AD4824"/>
    <w:rsid w:val="00AD4858"/>
    <w:rsid w:val="00AE4FFD"/>
    <w:rsid w:val="00AF24FA"/>
    <w:rsid w:val="00AF387F"/>
    <w:rsid w:val="00AF397D"/>
    <w:rsid w:val="00AF7330"/>
    <w:rsid w:val="00B00E7F"/>
    <w:rsid w:val="00B074F8"/>
    <w:rsid w:val="00B17112"/>
    <w:rsid w:val="00B21055"/>
    <w:rsid w:val="00B21DCC"/>
    <w:rsid w:val="00B25F37"/>
    <w:rsid w:val="00B37158"/>
    <w:rsid w:val="00B41258"/>
    <w:rsid w:val="00B425AA"/>
    <w:rsid w:val="00B44422"/>
    <w:rsid w:val="00B46EA0"/>
    <w:rsid w:val="00B50FE0"/>
    <w:rsid w:val="00B52CD7"/>
    <w:rsid w:val="00B55714"/>
    <w:rsid w:val="00B5774F"/>
    <w:rsid w:val="00B731D3"/>
    <w:rsid w:val="00B73B62"/>
    <w:rsid w:val="00B75B57"/>
    <w:rsid w:val="00B811B3"/>
    <w:rsid w:val="00B839A3"/>
    <w:rsid w:val="00B8454B"/>
    <w:rsid w:val="00B902BD"/>
    <w:rsid w:val="00B93E16"/>
    <w:rsid w:val="00BA1009"/>
    <w:rsid w:val="00BB0EC9"/>
    <w:rsid w:val="00BB43CB"/>
    <w:rsid w:val="00BB5A25"/>
    <w:rsid w:val="00BC4408"/>
    <w:rsid w:val="00BD2A39"/>
    <w:rsid w:val="00BD2E80"/>
    <w:rsid w:val="00BD49FF"/>
    <w:rsid w:val="00BD4B64"/>
    <w:rsid w:val="00BD6F68"/>
    <w:rsid w:val="00BD77E1"/>
    <w:rsid w:val="00BE0E1B"/>
    <w:rsid w:val="00BE11B8"/>
    <w:rsid w:val="00BE1762"/>
    <w:rsid w:val="00BF0B5A"/>
    <w:rsid w:val="00BF4E7C"/>
    <w:rsid w:val="00BF7FF0"/>
    <w:rsid w:val="00C00957"/>
    <w:rsid w:val="00C0249E"/>
    <w:rsid w:val="00C07367"/>
    <w:rsid w:val="00C11AEA"/>
    <w:rsid w:val="00C12502"/>
    <w:rsid w:val="00C26B3B"/>
    <w:rsid w:val="00C40AA5"/>
    <w:rsid w:val="00C42598"/>
    <w:rsid w:val="00C46C1D"/>
    <w:rsid w:val="00C46F70"/>
    <w:rsid w:val="00C476D0"/>
    <w:rsid w:val="00C6434A"/>
    <w:rsid w:val="00C722DF"/>
    <w:rsid w:val="00C74398"/>
    <w:rsid w:val="00C76500"/>
    <w:rsid w:val="00C830B9"/>
    <w:rsid w:val="00C836E3"/>
    <w:rsid w:val="00C836FF"/>
    <w:rsid w:val="00C854DC"/>
    <w:rsid w:val="00C86166"/>
    <w:rsid w:val="00C86577"/>
    <w:rsid w:val="00C91C02"/>
    <w:rsid w:val="00C92E07"/>
    <w:rsid w:val="00C96868"/>
    <w:rsid w:val="00CA0416"/>
    <w:rsid w:val="00CA5734"/>
    <w:rsid w:val="00CB115C"/>
    <w:rsid w:val="00CC3764"/>
    <w:rsid w:val="00CC3A35"/>
    <w:rsid w:val="00CC5468"/>
    <w:rsid w:val="00CC560B"/>
    <w:rsid w:val="00CC75E2"/>
    <w:rsid w:val="00CD3EFF"/>
    <w:rsid w:val="00CD46EB"/>
    <w:rsid w:val="00CD7EBF"/>
    <w:rsid w:val="00CE1ED2"/>
    <w:rsid w:val="00CE59AA"/>
    <w:rsid w:val="00CF0E86"/>
    <w:rsid w:val="00CF2670"/>
    <w:rsid w:val="00CF27EC"/>
    <w:rsid w:val="00CF5EBD"/>
    <w:rsid w:val="00D00DFA"/>
    <w:rsid w:val="00D05298"/>
    <w:rsid w:val="00D056F1"/>
    <w:rsid w:val="00D06616"/>
    <w:rsid w:val="00D144D7"/>
    <w:rsid w:val="00D15A08"/>
    <w:rsid w:val="00D23DB6"/>
    <w:rsid w:val="00D26900"/>
    <w:rsid w:val="00D40965"/>
    <w:rsid w:val="00D50421"/>
    <w:rsid w:val="00D5077F"/>
    <w:rsid w:val="00D51A95"/>
    <w:rsid w:val="00D60568"/>
    <w:rsid w:val="00D63A68"/>
    <w:rsid w:val="00D64020"/>
    <w:rsid w:val="00D70C7A"/>
    <w:rsid w:val="00D72A29"/>
    <w:rsid w:val="00D77828"/>
    <w:rsid w:val="00D834E5"/>
    <w:rsid w:val="00D91A45"/>
    <w:rsid w:val="00D91B02"/>
    <w:rsid w:val="00D96C9C"/>
    <w:rsid w:val="00DA10A8"/>
    <w:rsid w:val="00DB123A"/>
    <w:rsid w:val="00DB1E08"/>
    <w:rsid w:val="00DB2973"/>
    <w:rsid w:val="00DC0FBA"/>
    <w:rsid w:val="00DC1B56"/>
    <w:rsid w:val="00DC20CC"/>
    <w:rsid w:val="00DC2129"/>
    <w:rsid w:val="00DC31D7"/>
    <w:rsid w:val="00DC4FFB"/>
    <w:rsid w:val="00DC6570"/>
    <w:rsid w:val="00DC7557"/>
    <w:rsid w:val="00DD0093"/>
    <w:rsid w:val="00DD0094"/>
    <w:rsid w:val="00DD1BAA"/>
    <w:rsid w:val="00DD265C"/>
    <w:rsid w:val="00DD3703"/>
    <w:rsid w:val="00DD3903"/>
    <w:rsid w:val="00DE10D7"/>
    <w:rsid w:val="00DE2554"/>
    <w:rsid w:val="00DE2E8A"/>
    <w:rsid w:val="00DE5528"/>
    <w:rsid w:val="00DE79AD"/>
    <w:rsid w:val="00DF25C3"/>
    <w:rsid w:val="00DF5CFF"/>
    <w:rsid w:val="00DF72BB"/>
    <w:rsid w:val="00E04062"/>
    <w:rsid w:val="00E063C6"/>
    <w:rsid w:val="00E10EE2"/>
    <w:rsid w:val="00E11A86"/>
    <w:rsid w:val="00E2003B"/>
    <w:rsid w:val="00E26887"/>
    <w:rsid w:val="00E279D8"/>
    <w:rsid w:val="00E30092"/>
    <w:rsid w:val="00E319B1"/>
    <w:rsid w:val="00E327A6"/>
    <w:rsid w:val="00E34032"/>
    <w:rsid w:val="00E3684F"/>
    <w:rsid w:val="00E37F59"/>
    <w:rsid w:val="00E47D3B"/>
    <w:rsid w:val="00E52993"/>
    <w:rsid w:val="00E5492F"/>
    <w:rsid w:val="00E572B1"/>
    <w:rsid w:val="00E6369A"/>
    <w:rsid w:val="00E647BA"/>
    <w:rsid w:val="00E70A86"/>
    <w:rsid w:val="00E71209"/>
    <w:rsid w:val="00E73E50"/>
    <w:rsid w:val="00E754B3"/>
    <w:rsid w:val="00E7730A"/>
    <w:rsid w:val="00E777EC"/>
    <w:rsid w:val="00E80FCD"/>
    <w:rsid w:val="00E919A1"/>
    <w:rsid w:val="00EA2185"/>
    <w:rsid w:val="00EA7F2F"/>
    <w:rsid w:val="00EB6014"/>
    <w:rsid w:val="00EB6590"/>
    <w:rsid w:val="00EC00DE"/>
    <w:rsid w:val="00EC21DF"/>
    <w:rsid w:val="00EC30E1"/>
    <w:rsid w:val="00EC3436"/>
    <w:rsid w:val="00EC66BB"/>
    <w:rsid w:val="00ED172A"/>
    <w:rsid w:val="00EE01DC"/>
    <w:rsid w:val="00EE10A6"/>
    <w:rsid w:val="00EE4C0A"/>
    <w:rsid w:val="00EF4EBF"/>
    <w:rsid w:val="00F14AB3"/>
    <w:rsid w:val="00F14BEC"/>
    <w:rsid w:val="00F224B7"/>
    <w:rsid w:val="00F225C5"/>
    <w:rsid w:val="00F2587A"/>
    <w:rsid w:val="00F33470"/>
    <w:rsid w:val="00F33EDB"/>
    <w:rsid w:val="00F34239"/>
    <w:rsid w:val="00F34E02"/>
    <w:rsid w:val="00F3715D"/>
    <w:rsid w:val="00F37A10"/>
    <w:rsid w:val="00F4035D"/>
    <w:rsid w:val="00F420C8"/>
    <w:rsid w:val="00F42A4C"/>
    <w:rsid w:val="00F526BD"/>
    <w:rsid w:val="00F54699"/>
    <w:rsid w:val="00F57071"/>
    <w:rsid w:val="00F6007B"/>
    <w:rsid w:val="00F634A1"/>
    <w:rsid w:val="00F65899"/>
    <w:rsid w:val="00F71841"/>
    <w:rsid w:val="00F718B7"/>
    <w:rsid w:val="00F86EF1"/>
    <w:rsid w:val="00FA1912"/>
    <w:rsid w:val="00FA38D2"/>
    <w:rsid w:val="00FA5582"/>
    <w:rsid w:val="00FB7512"/>
    <w:rsid w:val="00FC005A"/>
    <w:rsid w:val="00FD7547"/>
    <w:rsid w:val="00FE287B"/>
    <w:rsid w:val="00FE6B50"/>
    <w:rsid w:val="00FE6D32"/>
    <w:rsid w:val="00FF1B03"/>
    <w:rsid w:val="00FF5F5C"/>
    <w:rsid w:val="00FF6E49"/>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2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F734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qFormat/>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Subheading">
    <w:name w:val="FS Subheading"/>
    <w:basedOn w:val="Normal"/>
    <w:qFormat/>
    <w:rsid w:val="00657640"/>
    <w:pPr>
      <w:ind w:left="851" w:hanging="851"/>
    </w:pPr>
    <w:rPr>
      <w:b/>
      <w:i/>
      <w:szCs w:val="20"/>
      <w:lang w:bidi="ar-SA"/>
    </w:rPr>
  </w:style>
  <w:style w:type="paragraph" w:styleId="ListParagraph">
    <w:name w:val="List Paragraph"/>
    <w:basedOn w:val="Normal"/>
    <w:uiPriority w:val="34"/>
    <w:rsid w:val="009C6632"/>
    <w:pPr>
      <w:ind w:left="720"/>
      <w:contextualSpacing/>
    </w:pPr>
  </w:style>
  <w:style w:type="table" w:styleId="MediumGrid3-Accent3">
    <w:name w:val="Medium Grid 3 Accent 3"/>
    <w:basedOn w:val="TableNormal"/>
    <w:uiPriority w:val="69"/>
    <w:rsid w:val="00CD3EFF"/>
    <w:rPr>
      <w:rFonts w:ascii="Arial" w:eastAsiaTheme="minorHAnsi" w:hAnsi="Arial" w:cs="Arial"/>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F734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qFormat/>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Subheading">
    <w:name w:val="FS Subheading"/>
    <w:basedOn w:val="Normal"/>
    <w:qFormat/>
    <w:rsid w:val="00657640"/>
    <w:pPr>
      <w:ind w:left="851" w:hanging="851"/>
    </w:pPr>
    <w:rPr>
      <w:b/>
      <w:i/>
      <w:szCs w:val="20"/>
      <w:lang w:bidi="ar-SA"/>
    </w:rPr>
  </w:style>
  <w:style w:type="paragraph" w:styleId="ListParagraph">
    <w:name w:val="List Paragraph"/>
    <w:basedOn w:val="Normal"/>
    <w:uiPriority w:val="34"/>
    <w:rsid w:val="009C6632"/>
    <w:pPr>
      <w:ind w:left="720"/>
      <w:contextualSpacing/>
    </w:pPr>
  </w:style>
  <w:style w:type="table" w:styleId="MediumGrid3-Accent3">
    <w:name w:val="Medium Grid 3 Accent 3"/>
    <w:basedOn w:val="TableNormal"/>
    <w:uiPriority w:val="69"/>
    <w:rsid w:val="00CD3EFF"/>
    <w:rPr>
      <w:rFonts w:ascii="Arial" w:eastAsiaTheme="minorHAnsi" w:hAnsi="Arial" w:cs="Arial"/>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70115354">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20958253">
      <w:bodyDiv w:val="1"/>
      <w:marLeft w:val="0"/>
      <w:marRight w:val="0"/>
      <w:marTop w:val="0"/>
      <w:marBottom w:val="0"/>
      <w:divBdr>
        <w:top w:val="none" w:sz="0" w:space="0" w:color="auto"/>
        <w:left w:val="none" w:sz="0" w:space="0" w:color="auto"/>
        <w:bottom w:val="none" w:sz="0" w:space="0" w:color="auto"/>
        <w:right w:val="none" w:sz="0" w:space="0" w:color="auto"/>
      </w:divBdr>
    </w:div>
    <w:div w:id="1640836609">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oodstandards.gov.au/code/proposals/Pages/M1012-MRL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foodsafety.govt.nz/industry/sectors/plant-products/pesticide-mrl/" TargetMode="External"/><Relationship Id="rId22"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exposure/Documents/Principles%20_%20practices%20exposure%20assessment%202009.pdf" TargetMode="External"/><Relationship Id="rId2" Type="http://schemas.openxmlformats.org/officeDocument/2006/relationships/hyperlink" Target="http://www.foodstandards.gov.au/code/proposals/Pages/P1027.aspx" TargetMode="External"/><Relationship Id="rId1" Type="http://schemas.openxmlformats.org/officeDocument/2006/relationships/hyperlink" Target="http://apvma.gov.au/node/1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f7696fbb53a522343cce68f2975b384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40845d955131be7d32b4d88eee1af54"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CA8E-9CD4-4D02-B8BE-5FE1A022758F}"/>
</file>

<file path=customXml/itemProps2.xml><?xml version="1.0" encoding="utf-8"?>
<ds:datastoreItem xmlns:ds="http://schemas.openxmlformats.org/officeDocument/2006/customXml" ds:itemID="{BA6CD916-A85F-4903-81D3-532132079FE6}"/>
</file>

<file path=customXml/itemProps3.xml><?xml version="1.0" encoding="utf-8"?>
<ds:datastoreItem xmlns:ds="http://schemas.openxmlformats.org/officeDocument/2006/customXml" ds:itemID="{393B9393-23BB-4E5A-8A25-C07E0AD1E1F4}"/>
</file>

<file path=customXml/itemProps4.xml><?xml version="1.0" encoding="utf-8"?>
<ds:datastoreItem xmlns:ds="http://schemas.openxmlformats.org/officeDocument/2006/customXml" ds:itemID="{1F4E8557-B5C6-4A32-9F61-5FDDFB5296C8}"/>
</file>

<file path=customXml/itemProps5.xml><?xml version="1.0" encoding="utf-8"?>
<ds:datastoreItem xmlns:ds="http://schemas.openxmlformats.org/officeDocument/2006/customXml" ds:itemID="{8829CA8E-9CD4-4D02-B8BE-5FE1A022758F}"/>
</file>

<file path=customXml/itemProps6.xml><?xml version="1.0" encoding="utf-8"?>
<ds:datastoreItem xmlns:ds="http://schemas.openxmlformats.org/officeDocument/2006/customXml" ds:itemID="{49954F56-DBF1-4777-9B3E-D0A5C487DDD1}"/>
</file>

<file path=docProps/app.xml><?xml version="1.0" encoding="utf-8"?>
<Properties xmlns="http://schemas.openxmlformats.org/officeDocument/2006/extended-properties" xmlns:vt="http://schemas.openxmlformats.org/officeDocument/2006/docPropsVTypes">
  <Template>Normal.dotm</Template>
  <TotalTime>9</TotalTime>
  <Pages>16</Pages>
  <Words>4749</Words>
  <Characters>27074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31760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mitchk</dc:creator>
  <cp:keywords>M1012; Approval Report</cp:keywords>
  <cp:lastModifiedBy>humphc</cp:lastModifiedBy>
  <cp:revision>7</cp:revision>
  <cp:lastPrinted>2015-07-07T04:55:00Z</cp:lastPrinted>
  <dcterms:created xsi:type="dcterms:W3CDTF">2015-07-30T02:37:00Z</dcterms:created>
  <dcterms:modified xsi:type="dcterms:W3CDTF">2015-08-12T05:28:00Z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0f593df8-e472-4b7d-9cdc-f1e201dd952b</vt:lpwstr>
  </property>
  <property fmtid="{D5CDD505-2E9C-101B-9397-08002B2CF9AE}" pid="6" name="SPPCopyMoveEvent">
    <vt:lpwstr>0</vt:lpwstr>
  </property>
</Properties>
</file>